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688" w:rsidRPr="005F070D" w:rsidRDefault="00524D83" w:rsidP="001F64CD">
      <w:pPr>
        <w:spacing w:line="276" w:lineRule="auto"/>
        <w:rPr>
          <w:rFonts w:cs="Times New Roman"/>
          <w:sz w:val="24"/>
        </w:rPr>
      </w:pPr>
      <w:r w:rsidRPr="005F070D">
        <w:rPr>
          <w:rFonts w:cs="Times New Roman"/>
          <w:sz w:val="24"/>
        </w:rPr>
        <w:tab/>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518"/>
        <w:gridCol w:w="6662"/>
      </w:tblGrid>
      <w:tr w:rsidR="005F6DAC" w:rsidRPr="005F070D" w:rsidTr="007713D3">
        <w:tc>
          <w:tcPr>
            <w:tcW w:w="2518" w:type="dxa"/>
            <w:shd w:val="clear" w:color="auto" w:fill="auto"/>
          </w:tcPr>
          <w:p w:rsidR="005F6DAC" w:rsidRPr="005F070D" w:rsidRDefault="0054367E" w:rsidP="001F64CD">
            <w:pPr>
              <w:pStyle w:val="En-tte"/>
              <w:spacing w:line="276" w:lineRule="auto"/>
              <w:rPr>
                <w:rFonts w:cs="Times New Roman"/>
                <w:sz w:val="24"/>
              </w:rPr>
            </w:pPr>
            <w:r w:rsidRPr="005F070D">
              <w:rPr>
                <w:rFonts w:cs="Times New Roman"/>
                <w:noProof/>
                <w:sz w:val="24"/>
                <w:lang w:eastAsia="fr-FR"/>
              </w:rPr>
              <w:drawing>
                <wp:inline distT="0" distB="0" distL="0" distR="0" wp14:anchorId="6631B46A" wp14:editId="1BE343A4">
                  <wp:extent cx="1367790" cy="643890"/>
                  <wp:effectExtent l="0" t="0" r="3810" b="3810"/>
                  <wp:docPr id="9" name="Image 1" descr="logo_Dephy_Ecoph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ephy_Ecophy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643890"/>
                          </a:xfrm>
                          <a:prstGeom prst="rect">
                            <a:avLst/>
                          </a:prstGeom>
                          <a:noFill/>
                          <a:ln>
                            <a:noFill/>
                          </a:ln>
                        </pic:spPr>
                      </pic:pic>
                    </a:graphicData>
                  </a:graphic>
                </wp:inline>
              </w:drawing>
            </w:r>
          </w:p>
          <w:p w:rsidR="005F6DAC" w:rsidRPr="005F070D" w:rsidRDefault="005F6DAC" w:rsidP="001F64CD">
            <w:pPr>
              <w:snapToGrid w:val="0"/>
              <w:spacing w:line="276" w:lineRule="auto"/>
              <w:jc w:val="center"/>
              <w:rPr>
                <w:rFonts w:cs="Times New Roman"/>
                <w:b/>
                <w:sz w:val="24"/>
              </w:rPr>
            </w:pPr>
            <w:r w:rsidRPr="005F070D">
              <w:rPr>
                <w:rFonts w:cs="Times New Roman"/>
                <w:b/>
                <w:sz w:val="24"/>
              </w:rPr>
              <w:t>N° du projet EXPE :</w:t>
            </w:r>
          </w:p>
          <w:p w:rsidR="005F6DAC" w:rsidRPr="005F070D" w:rsidRDefault="006D398A" w:rsidP="001F64CD">
            <w:pPr>
              <w:snapToGrid w:val="0"/>
              <w:spacing w:before="120" w:line="276" w:lineRule="auto"/>
              <w:jc w:val="center"/>
              <w:rPr>
                <w:rFonts w:cs="Times New Roman"/>
                <w:b/>
                <w:sz w:val="24"/>
              </w:rPr>
            </w:pPr>
            <w:r w:rsidRPr="005F070D">
              <w:rPr>
                <w:rFonts w:cs="Times New Roman"/>
                <w:b/>
                <w:sz w:val="24"/>
              </w:rPr>
              <w:t>20</w:t>
            </w:r>
          </w:p>
        </w:tc>
        <w:tc>
          <w:tcPr>
            <w:tcW w:w="6662" w:type="dxa"/>
            <w:shd w:val="clear" w:color="auto" w:fill="auto"/>
          </w:tcPr>
          <w:p w:rsidR="005F6DAC" w:rsidRPr="005F070D" w:rsidRDefault="005F6DAC" w:rsidP="001F64CD">
            <w:pPr>
              <w:snapToGrid w:val="0"/>
              <w:spacing w:line="276" w:lineRule="auto"/>
              <w:jc w:val="center"/>
              <w:rPr>
                <w:rFonts w:cs="Times New Roman"/>
                <w:b/>
                <w:bCs/>
                <w:sz w:val="24"/>
              </w:rPr>
            </w:pPr>
          </w:p>
          <w:p w:rsidR="005F6DAC" w:rsidRPr="005F070D" w:rsidRDefault="005F6DAC" w:rsidP="001F64CD">
            <w:pPr>
              <w:snapToGrid w:val="0"/>
              <w:spacing w:line="276" w:lineRule="auto"/>
              <w:jc w:val="center"/>
              <w:rPr>
                <w:rFonts w:cs="Times New Roman"/>
                <w:b/>
                <w:bCs/>
                <w:sz w:val="24"/>
              </w:rPr>
            </w:pPr>
            <w:r w:rsidRPr="005F070D">
              <w:rPr>
                <w:rFonts w:cs="Times New Roman"/>
                <w:b/>
                <w:bCs/>
                <w:sz w:val="24"/>
              </w:rPr>
              <w:t xml:space="preserve">COMPTE RENDU  </w:t>
            </w:r>
          </w:p>
          <w:p w:rsidR="005F6DAC" w:rsidRPr="005F070D" w:rsidRDefault="00C66E84" w:rsidP="001F64CD">
            <w:pPr>
              <w:snapToGrid w:val="0"/>
              <w:spacing w:line="276" w:lineRule="auto"/>
              <w:jc w:val="center"/>
              <w:rPr>
                <w:rFonts w:cs="Times New Roman"/>
                <w:b/>
                <w:bCs/>
                <w:sz w:val="24"/>
              </w:rPr>
            </w:pPr>
            <w:r w:rsidRPr="005F070D">
              <w:rPr>
                <w:rFonts w:cs="Times New Roman"/>
                <w:b/>
                <w:bCs/>
                <w:sz w:val="24"/>
              </w:rPr>
              <w:t>TECHNIQUE</w:t>
            </w:r>
          </w:p>
          <w:p w:rsidR="005F6DAC" w:rsidRPr="005F070D" w:rsidRDefault="001C7828" w:rsidP="001F64CD">
            <w:pPr>
              <w:snapToGrid w:val="0"/>
              <w:spacing w:line="276" w:lineRule="auto"/>
              <w:jc w:val="center"/>
              <w:rPr>
                <w:rFonts w:cs="Times New Roman"/>
                <w:b/>
                <w:bCs/>
                <w:sz w:val="24"/>
              </w:rPr>
            </w:pPr>
            <w:r w:rsidRPr="005F070D">
              <w:rPr>
                <w:rFonts w:cs="Times New Roman"/>
                <w:b/>
                <w:bCs/>
                <w:sz w:val="24"/>
              </w:rPr>
              <w:t>201</w:t>
            </w:r>
            <w:r w:rsidR="00C8077D">
              <w:rPr>
                <w:rFonts w:cs="Times New Roman"/>
                <w:b/>
                <w:bCs/>
                <w:sz w:val="24"/>
              </w:rPr>
              <w:t>5</w:t>
            </w:r>
          </w:p>
        </w:tc>
      </w:tr>
    </w:tbl>
    <w:p w:rsidR="005F6DAC" w:rsidRPr="005F070D" w:rsidRDefault="005F6DAC" w:rsidP="001F64CD">
      <w:pPr>
        <w:spacing w:line="276" w:lineRule="auto"/>
        <w:rPr>
          <w:rFonts w:cs="Times New Roman"/>
          <w:vanish/>
          <w:sz w:val="24"/>
        </w:rPr>
      </w:pPr>
    </w:p>
    <w:tbl>
      <w:tblPr>
        <w:tblW w:w="918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660"/>
        <w:gridCol w:w="6520"/>
      </w:tblGrid>
      <w:tr w:rsidR="00665F74" w:rsidRPr="005F070D" w:rsidTr="00827865">
        <w:trPr>
          <w:trHeight w:val="810"/>
        </w:trPr>
        <w:tc>
          <w:tcPr>
            <w:tcW w:w="2660" w:type="dxa"/>
            <w:shd w:val="clear" w:color="auto" w:fill="auto"/>
            <w:vAlign w:val="center"/>
          </w:tcPr>
          <w:p w:rsidR="00B72D81" w:rsidRPr="005F070D" w:rsidRDefault="00865688" w:rsidP="001F64CD">
            <w:pPr>
              <w:spacing w:line="276" w:lineRule="auto"/>
              <w:rPr>
                <w:rFonts w:cs="Times New Roman"/>
                <w:sz w:val="24"/>
              </w:rPr>
            </w:pPr>
            <w:r w:rsidRPr="005F070D">
              <w:rPr>
                <w:rFonts w:cs="Times New Roman"/>
                <w:b/>
                <w:sz w:val="24"/>
              </w:rPr>
              <w:t>Titre du projet (acronyme) :</w:t>
            </w:r>
          </w:p>
        </w:tc>
        <w:tc>
          <w:tcPr>
            <w:tcW w:w="6520" w:type="dxa"/>
            <w:shd w:val="clear" w:color="auto" w:fill="auto"/>
            <w:vAlign w:val="center"/>
          </w:tcPr>
          <w:p w:rsidR="00B72D81" w:rsidRPr="005F070D" w:rsidRDefault="007A222C" w:rsidP="001F64CD">
            <w:pPr>
              <w:spacing w:line="276" w:lineRule="auto"/>
              <w:rPr>
                <w:rFonts w:cs="Times New Roman"/>
                <w:sz w:val="24"/>
              </w:rPr>
            </w:pPr>
            <w:r w:rsidRPr="007A222C">
              <w:rPr>
                <w:rFonts w:cs="Times New Roman"/>
                <w:b/>
                <w:sz w:val="24"/>
              </w:rPr>
              <w:t>Cors’Expé </w:t>
            </w:r>
            <w:r>
              <w:rPr>
                <w:rFonts w:cs="Times New Roman"/>
                <w:sz w:val="24"/>
              </w:rPr>
              <w:t xml:space="preserve">: </w:t>
            </w:r>
            <w:r w:rsidR="006D398A" w:rsidRPr="005F070D">
              <w:rPr>
                <w:rFonts w:cs="Times New Roman"/>
                <w:sz w:val="24"/>
              </w:rPr>
              <w:t>Réduction des intrants phytosanitaires en arboriculture et viticulture en Corse</w:t>
            </w:r>
          </w:p>
        </w:tc>
      </w:tr>
      <w:tr w:rsidR="00665F74" w:rsidRPr="005F070D" w:rsidTr="00827865">
        <w:trPr>
          <w:trHeight w:val="733"/>
        </w:trPr>
        <w:tc>
          <w:tcPr>
            <w:tcW w:w="2660" w:type="dxa"/>
            <w:shd w:val="clear" w:color="auto" w:fill="auto"/>
            <w:vAlign w:val="center"/>
          </w:tcPr>
          <w:p w:rsidR="00B72D81" w:rsidRPr="005F070D" w:rsidRDefault="00DE3336" w:rsidP="001F64CD">
            <w:pPr>
              <w:spacing w:line="276" w:lineRule="auto"/>
              <w:rPr>
                <w:rFonts w:cs="Times New Roman"/>
                <w:b/>
                <w:sz w:val="24"/>
              </w:rPr>
            </w:pPr>
            <w:r w:rsidRPr="005F070D">
              <w:rPr>
                <w:rFonts w:cs="Times New Roman"/>
                <w:b/>
                <w:sz w:val="24"/>
              </w:rPr>
              <w:t>Partenaire</w:t>
            </w:r>
            <w:r w:rsidR="00B72D81" w:rsidRPr="005F070D">
              <w:rPr>
                <w:rFonts w:cs="Times New Roman"/>
                <w:b/>
                <w:sz w:val="24"/>
              </w:rPr>
              <w:t xml:space="preserve"> porteur du projet : </w:t>
            </w:r>
          </w:p>
        </w:tc>
        <w:tc>
          <w:tcPr>
            <w:tcW w:w="6520" w:type="dxa"/>
            <w:shd w:val="clear" w:color="auto" w:fill="auto"/>
            <w:vAlign w:val="center"/>
          </w:tcPr>
          <w:p w:rsidR="00B72D81" w:rsidRPr="005F070D" w:rsidRDefault="006D398A" w:rsidP="001F64CD">
            <w:pPr>
              <w:spacing w:line="276" w:lineRule="auto"/>
              <w:rPr>
                <w:rFonts w:cs="Times New Roman"/>
                <w:b/>
                <w:sz w:val="24"/>
              </w:rPr>
            </w:pPr>
            <w:r w:rsidRPr="005F070D">
              <w:rPr>
                <w:rFonts w:cs="Times New Roman"/>
                <w:b/>
                <w:sz w:val="24"/>
              </w:rPr>
              <w:t>AREFLEC</w:t>
            </w:r>
          </w:p>
        </w:tc>
      </w:tr>
      <w:tr w:rsidR="00B72D81" w:rsidRPr="005F070D" w:rsidTr="00827865">
        <w:trPr>
          <w:trHeight w:val="510"/>
        </w:trPr>
        <w:tc>
          <w:tcPr>
            <w:tcW w:w="2660" w:type="dxa"/>
            <w:shd w:val="clear" w:color="auto" w:fill="auto"/>
            <w:vAlign w:val="bottom"/>
          </w:tcPr>
          <w:p w:rsidR="00B72D81" w:rsidRPr="005F070D" w:rsidRDefault="00865688" w:rsidP="009F4AE3">
            <w:pPr>
              <w:spacing w:line="276" w:lineRule="auto"/>
              <w:rPr>
                <w:rFonts w:cs="Times New Roman"/>
                <w:sz w:val="24"/>
              </w:rPr>
            </w:pPr>
            <w:r w:rsidRPr="005F070D">
              <w:rPr>
                <w:rFonts w:cs="Times New Roman"/>
                <w:b/>
                <w:sz w:val="24"/>
              </w:rPr>
              <w:t>Nom du chef de projet :</w:t>
            </w:r>
          </w:p>
        </w:tc>
        <w:tc>
          <w:tcPr>
            <w:tcW w:w="6520" w:type="dxa"/>
            <w:shd w:val="clear" w:color="auto" w:fill="auto"/>
            <w:vAlign w:val="bottom"/>
          </w:tcPr>
          <w:p w:rsidR="00B72D81" w:rsidRPr="005F070D" w:rsidRDefault="006D398A" w:rsidP="009F4AE3">
            <w:pPr>
              <w:spacing w:line="276" w:lineRule="auto"/>
              <w:rPr>
                <w:rFonts w:cs="Times New Roman"/>
                <w:sz w:val="24"/>
              </w:rPr>
            </w:pPr>
            <w:r w:rsidRPr="005F070D">
              <w:rPr>
                <w:rFonts w:cs="Times New Roman"/>
                <w:sz w:val="24"/>
              </w:rPr>
              <w:t>Philippe Kreiter</w:t>
            </w:r>
            <w:r w:rsidR="00663650">
              <w:rPr>
                <w:rFonts w:cs="Times New Roman"/>
                <w:sz w:val="24"/>
              </w:rPr>
              <w:t>, Noémie Dubreuil</w:t>
            </w:r>
          </w:p>
        </w:tc>
      </w:tr>
      <w:tr w:rsidR="009B1FE1" w:rsidRPr="005F070D" w:rsidTr="00827865">
        <w:trPr>
          <w:trHeight w:val="597"/>
        </w:trPr>
        <w:tc>
          <w:tcPr>
            <w:tcW w:w="2660" w:type="dxa"/>
            <w:shd w:val="clear" w:color="auto" w:fill="auto"/>
            <w:vAlign w:val="bottom"/>
          </w:tcPr>
          <w:p w:rsidR="009B1FE1" w:rsidRPr="005F070D" w:rsidRDefault="009B1FE1" w:rsidP="009F4AE3">
            <w:pPr>
              <w:spacing w:line="276" w:lineRule="auto"/>
              <w:rPr>
                <w:rFonts w:cs="Times New Roman"/>
                <w:b/>
                <w:sz w:val="24"/>
              </w:rPr>
            </w:pPr>
            <w:r w:rsidRPr="005F070D">
              <w:rPr>
                <w:rFonts w:cs="Times New Roman"/>
                <w:b/>
                <w:sz w:val="24"/>
              </w:rPr>
              <w:t>Rédacteurs</w:t>
            </w:r>
            <w:r w:rsidR="009F4AE3" w:rsidRPr="005F070D">
              <w:rPr>
                <w:rFonts w:cs="Times New Roman"/>
                <w:b/>
                <w:sz w:val="24"/>
              </w:rPr>
              <w:t> :</w:t>
            </w:r>
          </w:p>
        </w:tc>
        <w:tc>
          <w:tcPr>
            <w:tcW w:w="6520" w:type="dxa"/>
            <w:shd w:val="clear" w:color="auto" w:fill="auto"/>
            <w:vAlign w:val="bottom"/>
          </w:tcPr>
          <w:p w:rsidR="009B1FE1" w:rsidRPr="005F070D" w:rsidRDefault="009B1FE1" w:rsidP="008C354D">
            <w:pPr>
              <w:spacing w:line="276" w:lineRule="auto"/>
              <w:rPr>
                <w:rFonts w:cs="Times New Roman"/>
                <w:sz w:val="24"/>
              </w:rPr>
            </w:pPr>
            <w:r w:rsidRPr="005F070D">
              <w:rPr>
                <w:rFonts w:cs="Times New Roman"/>
                <w:sz w:val="24"/>
              </w:rPr>
              <w:t xml:space="preserve">Noémie Dubreuil, Philippe Kreiter, Gabrielle Ciccolini, </w:t>
            </w:r>
            <w:r w:rsidR="008C354D">
              <w:rPr>
                <w:rFonts w:cs="Times New Roman"/>
                <w:sz w:val="24"/>
              </w:rPr>
              <w:t>Marie-Madeleine Ottomani.</w:t>
            </w:r>
          </w:p>
        </w:tc>
      </w:tr>
    </w:tbl>
    <w:p w:rsidR="00F3295A" w:rsidRPr="005F070D" w:rsidRDefault="00F3295A" w:rsidP="001F64CD">
      <w:pPr>
        <w:spacing w:line="276" w:lineRule="auto"/>
        <w:rPr>
          <w:rFonts w:cs="Times New Roman"/>
          <w:i/>
          <w:sz w:val="24"/>
        </w:rPr>
      </w:pPr>
    </w:p>
    <w:p w:rsidR="006D398A" w:rsidRPr="005F070D" w:rsidRDefault="006D398A" w:rsidP="001F64CD">
      <w:pPr>
        <w:keepNext/>
        <w:keepLines/>
        <w:suppressAutoHyphens w:val="0"/>
        <w:spacing w:before="200" w:after="0" w:line="276" w:lineRule="auto"/>
        <w:jc w:val="center"/>
        <w:outlineLvl w:val="1"/>
        <w:rPr>
          <w:rFonts w:cs="Times New Roman"/>
          <w:b/>
          <w:bCs/>
          <w:color w:val="4F81BD"/>
          <w:sz w:val="24"/>
          <w:lang w:eastAsia="en-US"/>
        </w:rPr>
      </w:pPr>
      <w:bookmarkStart w:id="0" w:name="_Toc353801354"/>
      <w:bookmarkStart w:id="1" w:name="_Toc380653845"/>
      <w:bookmarkStart w:id="2" w:name="_Toc380998558"/>
      <w:bookmarkStart w:id="3" w:name="_Toc446344563"/>
      <w:r w:rsidRPr="005F070D">
        <w:rPr>
          <w:rFonts w:cs="Times New Roman"/>
          <w:b/>
          <w:bCs/>
          <w:color w:val="4F81BD"/>
          <w:sz w:val="24"/>
          <w:lang w:eastAsia="en-US"/>
        </w:rPr>
        <w:t>Introduction</w:t>
      </w:r>
      <w:bookmarkEnd w:id="0"/>
      <w:bookmarkEnd w:id="1"/>
      <w:bookmarkEnd w:id="2"/>
      <w:bookmarkEnd w:id="3"/>
    </w:p>
    <w:p w:rsidR="004D445B" w:rsidRPr="008C33CC" w:rsidRDefault="006D398A" w:rsidP="001F64CD">
      <w:pPr>
        <w:shd w:val="clear" w:color="auto" w:fill="FFFFFF"/>
        <w:suppressAutoHyphens w:val="0"/>
        <w:spacing w:after="0" w:line="276" w:lineRule="auto"/>
        <w:jc w:val="both"/>
        <w:rPr>
          <w:rFonts w:cs="Times New Roman"/>
          <w:szCs w:val="22"/>
          <w:lang w:eastAsia="fr-FR"/>
        </w:rPr>
      </w:pPr>
      <w:r w:rsidRPr="005F070D">
        <w:rPr>
          <w:rFonts w:cs="Times New Roman"/>
          <w:sz w:val="24"/>
          <w:lang w:eastAsia="fr-FR"/>
        </w:rPr>
        <w:br/>
      </w:r>
      <w:r w:rsidR="00AC03C8">
        <w:rPr>
          <w:rFonts w:cs="Times New Roman"/>
          <w:szCs w:val="22"/>
          <w:lang w:eastAsia="fr-FR"/>
        </w:rPr>
        <w:t>L’AREFLEC est impliqué depuis quatre</w:t>
      </w:r>
      <w:r w:rsidR="004D445B" w:rsidRPr="008C33CC">
        <w:rPr>
          <w:rFonts w:cs="Times New Roman"/>
          <w:szCs w:val="22"/>
          <w:lang w:eastAsia="fr-FR"/>
        </w:rPr>
        <w:t xml:space="preserve"> ans dans le Plan Ecophyto, mis en place par les pouvoirs publics, s</w:t>
      </w:r>
      <w:r w:rsidRPr="008C33CC">
        <w:rPr>
          <w:rFonts w:cs="Times New Roman"/>
          <w:szCs w:val="22"/>
          <w:lang w:eastAsia="fr-FR"/>
        </w:rPr>
        <w:t>uite</w:t>
      </w:r>
      <w:r w:rsidR="00C45D93" w:rsidRPr="008C33CC">
        <w:rPr>
          <w:rFonts w:cs="Times New Roman"/>
          <w:szCs w:val="22"/>
          <w:lang w:eastAsia="fr-FR"/>
        </w:rPr>
        <w:t xml:space="preserve"> au Grenelle de l’E</w:t>
      </w:r>
      <w:r w:rsidR="004D445B" w:rsidRPr="008C33CC">
        <w:rPr>
          <w:rFonts w:cs="Times New Roman"/>
          <w:szCs w:val="22"/>
          <w:lang w:eastAsia="fr-FR"/>
        </w:rPr>
        <w:t>nvironnement.</w:t>
      </w:r>
      <w:r w:rsidRPr="008C33CC">
        <w:rPr>
          <w:rFonts w:cs="Times New Roman"/>
          <w:szCs w:val="22"/>
          <w:lang w:eastAsia="fr-FR"/>
        </w:rPr>
        <w:t xml:space="preserve"> </w:t>
      </w:r>
      <w:r w:rsidR="004D445B" w:rsidRPr="008C33CC">
        <w:rPr>
          <w:rFonts w:cs="Times New Roman"/>
          <w:szCs w:val="22"/>
          <w:lang w:eastAsia="fr-FR"/>
        </w:rPr>
        <w:t xml:space="preserve">La réduction </w:t>
      </w:r>
      <w:r w:rsidRPr="008C33CC">
        <w:rPr>
          <w:rFonts w:cs="Times New Roman"/>
          <w:szCs w:val="22"/>
          <w:lang w:eastAsia="fr-FR"/>
        </w:rPr>
        <w:t>des produits phytosanitaires</w:t>
      </w:r>
      <w:r w:rsidR="004D445B" w:rsidRPr="008C33CC">
        <w:rPr>
          <w:rFonts w:cs="Times New Roman"/>
          <w:szCs w:val="22"/>
          <w:lang w:eastAsia="fr-FR"/>
        </w:rPr>
        <w:t xml:space="preserve"> est une réelle préoccupation pour la région Corse dont</w:t>
      </w:r>
      <w:r w:rsidRPr="008C33CC">
        <w:rPr>
          <w:rFonts w:cs="Times New Roman"/>
          <w:szCs w:val="22"/>
          <w:lang w:eastAsia="fr-FR"/>
        </w:rPr>
        <w:t xml:space="preserve"> </w:t>
      </w:r>
      <w:r w:rsidR="004D445B" w:rsidRPr="008C33CC">
        <w:rPr>
          <w:rFonts w:cs="Times New Roman"/>
          <w:szCs w:val="22"/>
          <w:lang w:eastAsia="fr-FR"/>
        </w:rPr>
        <w:t>l</w:t>
      </w:r>
      <w:r w:rsidRPr="008C33CC">
        <w:rPr>
          <w:rFonts w:cs="Times New Roman"/>
          <w:szCs w:val="22"/>
          <w:lang w:eastAsia="fr-FR"/>
        </w:rPr>
        <w:t xml:space="preserve">a position géographique insulaire en </w:t>
      </w:r>
      <w:r w:rsidR="004D445B" w:rsidRPr="008C33CC">
        <w:rPr>
          <w:rFonts w:cs="Times New Roman"/>
          <w:szCs w:val="22"/>
          <w:lang w:eastAsia="fr-FR"/>
        </w:rPr>
        <w:t>M</w:t>
      </w:r>
      <w:r w:rsidRPr="008C33CC">
        <w:rPr>
          <w:rFonts w:cs="Times New Roman"/>
          <w:szCs w:val="22"/>
          <w:lang w:eastAsia="fr-FR"/>
        </w:rPr>
        <w:t>éditerranée</w:t>
      </w:r>
      <w:r w:rsidR="004D445B" w:rsidRPr="008C33CC">
        <w:rPr>
          <w:rFonts w:cs="Times New Roman"/>
          <w:szCs w:val="22"/>
          <w:lang w:eastAsia="fr-FR"/>
        </w:rPr>
        <w:t xml:space="preserve"> </w:t>
      </w:r>
      <w:r w:rsidRPr="008C33CC">
        <w:rPr>
          <w:rFonts w:cs="Times New Roman"/>
          <w:szCs w:val="22"/>
          <w:lang w:eastAsia="fr-FR"/>
        </w:rPr>
        <w:t>expose les cultures à des risques phytosanitaires importants</w:t>
      </w:r>
      <w:r w:rsidR="004D445B" w:rsidRPr="008C33CC">
        <w:rPr>
          <w:rFonts w:cs="Times New Roman"/>
          <w:szCs w:val="22"/>
          <w:lang w:eastAsia="fr-FR"/>
        </w:rPr>
        <w:t xml:space="preserve"> par des introductions accidentelles de maladies ou de ravageurs dus aux échanges commerciaux et touristiques</w:t>
      </w:r>
      <w:r w:rsidRPr="008C33CC">
        <w:rPr>
          <w:rFonts w:cs="Times New Roman"/>
          <w:szCs w:val="22"/>
          <w:lang w:eastAsia="fr-FR"/>
        </w:rPr>
        <w:t xml:space="preserve">. </w:t>
      </w:r>
    </w:p>
    <w:p w:rsidR="00E94A6B" w:rsidRPr="008C33CC" w:rsidRDefault="00E94A6B" w:rsidP="001F64CD">
      <w:pPr>
        <w:shd w:val="clear" w:color="auto" w:fill="FFFFFF"/>
        <w:suppressAutoHyphens w:val="0"/>
        <w:spacing w:after="0" w:line="276" w:lineRule="auto"/>
        <w:jc w:val="both"/>
        <w:rPr>
          <w:rFonts w:cs="Times New Roman"/>
          <w:szCs w:val="22"/>
          <w:lang w:eastAsia="fr-FR"/>
        </w:rPr>
      </w:pPr>
    </w:p>
    <w:p w:rsidR="006D398A" w:rsidRPr="008C33CC" w:rsidRDefault="004D445B" w:rsidP="001F64CD">
      <w:p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 xml:space="preserve">L’arboriculture fruitière et la vigne tiennent une part importante dans l’économie corse et sont </w:t>
      </w:r>
      <w:r w:rsidR="006D398A" w:rsidRPr="008C33CC">
        <w:rPr>
          <w:rFonts w:cs="Times New Roman"/>
          <w:szCs w:val="22"/>
          <w:lang w:eastAsia="fr-FR"/>
        </w:rPr>
        <w:t xml:space="preserve"> soumises à une forte pression des insectes phytophages e</w:t>
      </w:r>
      <w:r w:rsidRPr="008C33CC">
        <w:rPr>
          <w:rFonts w:cs="Times New Roman"/>
          <w:szCs w:val="22"/>
          <w:lang w:eastAsia="fr-FR"/>
        </w:rPr>
        <w:t xml:space="preserve">t des adventices, entraînant des </w:t>
      </w:r>
      <w:r w:rsidR="006D398A" w:rsidRPr="008C33CC">
        <w:rPr>
          <w:rFonts w:cs="Times New Roman"/>
          <w:szCs w:val="22"/>
          <w:lang w:eastAsia="fr-FR"/>
        </w:rPr>
        <w:t>pertes de rendements.</w:t>
      </w:r>
      <w:r w:rsidRPr="008C33CC">
        <w:rPr>
          <w:rFonts w:cs="Times New Roman"/>
          <w:szCs w:val="22"/>
          <w:lang w:eastAsia="fr-FR"/>
        </w:rPr>
        <w:t xml:space="preserve"> Pour les réduire, les agriculteurs, pour une grande majorité, utilisent des méthodes de lutte chimique</w:t>
      </w:r>
      <w:r w:rsidR="00FB398F">
        <w:rPr>
          <w:rFonts w:cs="Times New Roman"/>
          <w:szCs w:val="22"/>
          <w:lang w:eastAsia="fr-FR"/>
        </w:rPr>
        <w:t xml:space="preserve"> raisonnée</w:t>
      </w:r>
      <w:r w:rsidRPr="008C33CC">
        <w:rPr>
          <w:rFonts w:cs="Times New Roman"/>
          <w:szCs w:val="22"/>
          <w:lang w:eastAsia="fr-FR"/>
        </w:rPr>
        <w:t>. Ces traitements, bien qu’homologués, n’en demeurent pas moins dangereux pour l’environnement et la santé humaine. C</w:t>
      </w:r>
      <w:r w:rsidR="006D398A" w:rsidRPr="008C33CC">
        <w:rPr>
          <w:rFonts w:cs="Times New Roman"/>
          <w:szCs w:val="22"/>
          <w:lang w:eastAsia="fr-FR"/>
        </w:rPr>
        <w:t xml:space="preserve">es cultures sont souvent voisines de zones non agricoles et touristiques subissant des effets non intentionnels des </w:t>
      </w:r>
      <w:r w:rsidR="00131EE1" w:rsidRPr="008C33CC">
        <w:rPr>
          <w:rFonts w:cs="Times New Roman"/>
          <w:szCs w:val="22"/>
          <w:lang w:eastAsia="fr-FR"/>
        </w:rPr>
        <w:t>traitements chimiques</w:t>
      </w:r>
      <w:r w:rsidR="006D398A" w:rsidRPr="008C33CC">
        <w:rPr>
          <w:rFonts w:cs="Times New Roman"/>
          <w:szCs w:val="22"/>
          <w:lang w:eastAsia="fr-FR"/>
        </w:rPr>
        <w:t>.</w:t>
      </w:r>
      <w:r w:rsidR="00131EE1" w:rsidRPr="008C33CC">
        <w:rPr>
          <w:rFonts w:cs="Times New Roman"/>
          <w:szCs w:val="22"/>
          <w:lang w:eastAsia="fr-FR"/>
        </w:rPr>
        <w:t xml:space="preserve"> Pourtant de nombreuses méthodes alternatives à la lutte chimique existent, car expérimentées et éprouvées par l’AREFLEC, mais ne sont pas utilisées ou </w:t>
      </w:r>
      <w:r w:rsidR="007A222C">
        <w:rPr>
          <w:rFonts w:cs="Times New Roman"/>
          <w:szCs w:val="22"/>
          <w:lang w:eastAsia="fr-FR"/>
        </w:rPr>
        <w:t>rarement intégrées les unes avec</w:t>
      </w:r>
      <w:r w:rsidR="00131EE1" w:rsidRPr="008C33CC">
        <w:rPr>
          <w:rFonts w:cs="Times New Roman"/>
          <w:szCs w:val="22"/>
          <w:lang w:eastAsia="fr-FR"/>
        </w:rPr>
        <w:t xml:space="preserve"> les autres. C’est dans ce contexte un peu singulier que </w:t>
      </w:r>
      <w:r w:rsidR="006D398A" w:rsidRPr="008C33CC">
        <w:rPr>
          <w:rFonts w:cs="Times New Roman"/>
          <w:szCs w:val="22"/>
          <w:lang w:eastAsia="fr-FR"/>
        </w:rPr>
        <w:t>l</w:t>
      </w:r>
      <w:r w:rsidR="00F972B8" w:rsidRPr="008C33CC">
        <w:rPr>
          <w:rFonts w:cs="Times New Roman"/>
          <w:szCs w:val="22"/>
          <w:lang w:eastAsia="fr-FR"/>
        </w:rPr>
        <w:t>e projet Déphy expé Ecophyto « </w:t>
      </w:r>
      <w:r w:rsidR="006D398A" w:rsidRPr="008C33CC">
        <w:rPr>
          <w:rFonts w:cs="Times New Roman"/>
          <w:szCs w:val="22"/>
          <w:lang w:eastAsia="fr-FR"/>
        </w:rPr>
        <w:t>diminution des intrants chimiques en arboriculture et viticulture en Corse »</w:t>
      </w:r>
      <w:r w:rsidR="00131EE1" w:rsidRPr="008C33CC">
        <w:rPr>
          <w:rFonts w:cs="Times New Roman"/>
          <w:szCs w:val="22"/>
          <w:lang w:eastAsia="fr-FR"/>
        </w:rPr>
        <w:t xml:space="preserve"> a été élaboré afin de pouvoir combiner ces méthodes</w:t>
      </w:r>
      <w:r w:rsidR="006D398A" w:rsidRPr="008C33CC">
        <w:rPr>
          <w:rFonts w:cs="Times New Roman"/>
          <w:szCs w:val="22"/>
          <w:lang w:eastAsia="fr-FR"/>
        </w:rPr>
        <w:t>.</w:t>
      </w:r>
    </w:p>
    <w:p w:rsidR="006D398A" w:rsidRPr="008C33CC" w:rsidRDefault="006D398A" w:rsidP="001F64CD">
      <w:pPr>
        <w:shd w:val="clear" w:color="auto" w:fill="FFFFFF"/>
        <w:suppressAutoHyphens w:val="0"/>
        <w:spacing w:after="0" w:line="276" w:lineRule="auto"/>
        <w:jc w:val="both"/>
        <w:rPr>
          <w:rFonts w:cs="Times New Roman"/>
          <w:szCs w:val="22"/>
          <w:lang w:eastAsia="fr-FR"/>
        </w:rPr>
      </w:pPr>
    </w:p>
    <w:p w:rsidR="00801E87" w:rsidRPr="008C33CC" w:rsidRDefault="001F1383" w:rsidP="001F64CD">
      <w:p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Pendant la</w:t>
      </w:r>
      <w:r w:rsidR="00E94A6B" w:rsidRPr="008C33CC">
        <w:rPr>
          <w:rFonts w:cs="Times New Roman"/>
          <w:szCs w:val="22"/>
          <w:lang w:eastAsia="fr-FR"/>
        </w:rPr>
        <w:t xml:space="preserve"> première année du projet, un inventaire faunistique des différents ravageurs a été établi en essayant d’en mesurer l’impact sur les cultures choisies. Parallèlement, les méthodes connues, alternatives à la lutte chimique et pouvant être considérées comme des leviers, ont été mis</w:t>
      </w:r>
      <w:r w:rsidRPr="008C33CC">
        <w:rPr>
          <w:rFonts w:cs="Times New Roman"/>
          <w:szCs w:val="22"/>
          <w:lang w:eastAsia="fr-FR"/>
        </w:rPr>
        <w:t>es</w:t>
      </w:r>
      <w:r w:rsidR="00E94A6B" w:rsidRPr="008C33CC">
        <w:rPr>
          <w:rFonts w:cs="Times New Roman"/>
          <w:szCs w:val="22"/>
          <w:lang w:eastAsia="fr-FR"/>
        </w:rPr>
        <w:t xml:space="preserve"> en place. Par ailleurs, des indicateurs permettant de « mesurer » l’apport au niveau</w:t>
      </w:r>
      <w:r w:rsidR="00827865">
        <w:rPr>
          <w:rFonts w:cs="Times New Roman"/>
          <w:szCs w:val="22"/>
          <w:lang w:eastAsia="fr-FR"/>
        </w:rPr>
        <w:t xml:space="preserve"> des cultures ont été élaborés.</w:t>
      </w:r>
      <w:r w:rsidR="00801E87">
        <w:rPr>
          <w:rFonts w:cs="Times New Roman"/>
          <w:szCs w:val="22"/>
          <w:lang w:eastAsia="fr-FR"/>
        </w:rPr>
        <w:t xml:space="preserve"> Les deux années suivantes ont été caractérisées par des améliorations de protocole et la recherche de nouveaux indicateurs et de no</w:t>
      </w:r>
      <w:r w:rsidR="00663650">
        <w:rPr>
          <w:rFonts w:cs="Times New Roman"/>
          <w:szCs w:val="22"/>
          <w:lang w:eastAsia="fr-FR"/>
        </w:rPr>
        <w:t xml:space="preserve">uvelles méthodes de lutte. Ces </w:t>
      </w:r>
      <w:r w:rsidR="00801E87">
        <w:rPr>
          <w:rFonts w:cs="Times New Roman"/>
          <w:szCs w:val="22"/>
          <w:lang w:eastAsia="fr-FR"/>
        </w:rPr>
        <w:t xml:space="preserve">améliorations ont </w:t>
      </w:r>
      <w:r w:rsidR="00B00AE6">
        <w:rPr>
          <w:rFonts w:cs="Times New Roman"/>
          <w:szCs w:val="22"/>
          <w:lang w:eastAsia="fr-FR"/>
        </w:rPr>
        <w:t>fait l’objet de deux stages étudiants de Master en 2013</w:t>
      </w:r>
      <w:r w:rsidR="00801E87">
        <w:rPr>
          <w:rFonts w:cs="Times New Roman"/>
          <w:szCs w:val="22"/>
          <w:lang w:eastAsia="fr-FR"/>
        </w:rPr>
        <w:t xml:space="preserve">. </w:t>
      </w:r>
    </w:p>
    <w:p w:rsidR="00E94A6B" w:rsidRPr="008C33CC" w:rsidRDefault="00E94A6B" w:rsidP="001F1383">
      <w:pPr>
        <w:shd w:val="clear" w:color="auto" w:fill="FFFFFF"/>
        <w:suppressAutoHyphens w:val="0"/>
        <w:spacing w:after="0" w:line="276" w:lineRule="auto"/>
        <w:jc w:val="right"/>
        <w:rPr>
          <w:rFonts w:cs="Times New Roman"/>
          <w:szCs w:val="22"/>
          <w:lang w:eastAsia="fr-FR"/>
        </w:rPr>
      </w:pPr>
    </w:p>
    <w:p w:rsidR="00B00AE6" w:rsidRDefault="00801E87" w:rsidP="001F64CD">
      <w:pPr>
        <w:shd w:val="clear" w:color="auto" w:fill="FFFFFF"/>
        <w:suppressAutoHyphens w:val="0"/>
        <w:spacing w:after="0" w:line="276" w:lineRule="auto"/>
        <w:jc w:val="both"/>
        <w:rPr>
          <w:rFonts w:cs="Times New Roman"/>
          <w:szCs w:val="22"/>
          <w:lang w:eastAsia="fr-FR"/>
        </w:rPr>
      </w:pPr>
      <w:r w:rsidRPr="008F4D3D">
        <w:rPr>
          <w:rFonts w:cs="Times New Roman"/>
          <w:szCs w:val="22"/>
          <w:lang w:eastAsia="fr-FR"/>
        </w:rPr>
        <w:lastRenderedPageBreak/>
        <w:t>L’année 2015 s</w:t>
      </w:r>
      <w:r w:rsidR="00B00AE6">
        <w:rPr>
          <w:rFonts w:cs="Times New Roman"/>
          <w:szCs w:val="22"/>
          <w:lang w:eastAsia="fr-FR"/>
        </w:rPr>
        <w:t>’est déroulée dans la continuité des deux années précédentes concernant l’expérimentation dans le réseau de parcelle Dephy Expé, avec la poursuite de l’amélioration des itinéraires techniques et leur comparaison</w:t>
      </w:r>
      <w:r w:rsidRPr="008F4D3D">
        <w:rPr>
          <w:rFonts w:cs="Times New Roman"/>
          <w:szCs w:val="22"/>
          <w:lang w:eastAsia="fr-FR"/>
        </w:rPr>
        <w:t xml:space="preserve">. </w:t>
      </w:r>
      <w:r w:rsidR="00B00AE6" w:rsidRPr="008F4D3D">
        <w:rPr>
          <w:rFonts w:cs="Times New Roman"/>
          <w:szCs w:val="22"/>
          <w:lang w:eastAsia="fr-FR"/>
        </w:rPr>
        <w:t>Par ailleurs, l’année 2015 s’est caractérisée par le transfert de certains indicateurs</w:t>
      </w:r>
      <w:r w:rsidR="00B00AE6">
        <w:rPr>
          <w:rFonts w:cs="Times New Roman"/>
          <w:szCs w:val="22"/>
          <w:lang w:eastAsia="fr-FR"/>
        </w:rPr>
        <w:t>, notamment des indicateurs environnementaux, à savoir le contrôle des populations d’acariens prédateurs,</w:t>
      </w:r>
      <w:r w:rsidR="00B00AE6" w:rsidRPr="008F4D3D">
        <w:rPr>
          <w:rFonts w:cs="Times New Roman"/>
          <w:szCs w:val="22"/>
          <w:lang w:eastAsia="fr-FR"/>
        </w:rPr>
        <w:t xml:space="preserve"> d</w:t>
      </w:r>
      <w:r w:rsidR="00663650">
        <w:rPr>
          <w:rFonts w:cs="Times New Roman"/>
          <w:szCs w:val="22"/>
          <w:lang w:eastAsia="fr-FR"/>
        </w:rPr>
        <w:t>ans une sélection de fermes du r</w:t>
      </w:r>
      <w:r w:rsidR="00B00AE6" w:rsidRPr="008F4D3D">
        <w:rPr>
          <w:rFonts w:cs="Times New Roman"/>
          <w:szCs w:val="22"/>
          <w:lang w:eastAsia="fr-FR"/>
        </w:rPr>
        <w:t>éseau</w:t>
      </w:r>
      <w:r w:rsidR="00663650">
        <w:rPr>
          <w:rFonts w:cs="Times New Roman"/>
          <w:szCs w:val="22"/>
          <w:lang w:eastAsia="fr-FR"/>
        </w:rPr>
        <w:t xml:space="preserve"> Déphy</w:t>
      </w:r>
      <w:r w:rsidR="00B00AE6">
        <w:rPr>
          <w:rFonts w:cs="Times New Roman"/>
          <w:szCs w:val="22"/>
          <w:lang w:eastAsia="fr-FR"/>
        </w:rPr>
        <w:t>.</w:t>
      </w:r>
    </w:p>
    <w:p w:rsidR="00801E87" w:rsidRPr="008F4D3D" w:rsidRDefault="00801E87" w:rsidP="001F64CD">
      <w:pPr>
        <w:shd w:val="clear" w:color="auto" w:fill="FFFFFF"/>
        <w:suppressAutoHyphens w:val="0"/>
        <w:spacing w:after="0" w:line="276" w:lineRule="auto"/>
        <w:jc w:val="both"/>
        <w:rPr>
          <w:rFonts w:cs="Times New Roman"/>
          <w:szCs w:val="22"/>
          <w:lang w:eastAsia="fr-FR"/>
        </w:rPr>
      </w:pPr>
      <w:r w:rsidRPr="008F4D3D">
        <w:rPr>
          <w:rFonts w:cs="Times New Roman"/>
          <w:szCs w:val="22"/>
          <w:lang w:eastAsia="fr-FR"/>
        </w:rPr>
        <w:t>Une réunion de restitution globale des projets Dephy en Corse</w:t>
      </w:r>
      <w:r w:rsidR="007A222C" w:rsidRPr="008F4D3D">
        <w:rPr>
          <w:rFonts w:cs="Times New Roman"/>
          <w:szCs w:val="22"/>
          <w:lang w:eastAsia="fr-FR"/>
        </w:rPr>
        <w:t xml:space="preserve"> (Dephy Expé, Dephy Ferme et Action 16)</w:t>
      </w:r>
      <w:r w:rsidRPr="008F4D3D">
        <w:rPr>
          <w:rFonts w:cs="Times New Roman"/>
          <w:szCs w:val="22"/>
          <w:lang w:eastAsia="fr-FR"/>
        </w:rPr>
        <w:t xml:space="preserve"> a eu lieu en juin avec la présence notamment de l’ingénieur </w:t>
      </w:r>
      <w:r w:rsidR="00B00AE6">
        <w:rPr>
          <w:rFonts w:cs="Times New Roman"/>
          <w:szCs w:val="22"/>
          <w:lang w:eastAsia="fr-FR"/>
        </w:rPr>
        <w:t>territorial (</w:t>
      </w:r>
      <w:r w:rsidRPr="008F4D3D">
        <w:rPr>
          <w:rFonts w:cs="Times New Roman"/>
          <w:szCs w:val="22"/>
          <w:lang w:eastAsia="fr-FR"/>
        </w:rPr>
        <w:t>Ctifl</w:t>
      </w:r>
      <w:r w:rsidR="00B00AE6">
        <w:rPr>
          <w:rFonts w:cs="Times New Roman"/>
          <w:szCs w:val="22"/>
          <w:lang w:eastAsia="fr-FR"/>
        </w:rPr>
        <w:t xml:space="preserve"> Balandran), de </w:t>
      </w:r>
      <w:r w:rsidRPr="008F4D3D">
        <w:rPr>
          <w:rFonts w:cs="Times New Roman"/>
          <w:szCs w:val="22"/>
          <w:lang w:eastAsia="fr-FR"/>
        </w:rPr>
        <w:t>l’ingénieur réseau Ferme en Corse et du responsable</w:t>
      </w:r>
      <w:r w:rsidR="00B00AE6">
        <w:rPr>
          <w:rFonts w:cs="Times New Roman"/>
          <w:szCs w:val="22"/>
          <w:lang w:eastAsia="fr-FR"/>
        </w:rPr>
        <w:t xml:space="preserve"> national</w:t>
      </w:r>
      <w:r w:rsidRPr="008F4D3D">
        <w:rPr>
          <w:rFonts w:cs="Times New Roman"/>
          <w:szCs w:val="22"/>
          <w:lang w:eastAsia="fr-FR"/>
        </w:rPr>
        <w:t xml:space="preserve"> des projets Dephy Expé auprès de l’APCA.</w:t>
      </w:r>
      <w:r w:rsidR="00663650">
        <w:rPr>
          <w:rFonts w:cs="Times New Roman"/>
          <w:szCs w:val="22"/>
          <w:lang w:eastAsia="fr-FR"/>
        </w:rPr>
        <w:t xml:space="preserve"> Cette manifestation a été complétée pendant trois jours de visites des parcelles et de présentation </w:t>
      </w:r>
      <w:r w:rsidR="00663650" w:rsidRPr="00663650">
        <w:rPr>
          <w:rFonts w:cs="Times New Roman"/>
          <w:i/>
          <w:szCs w:val="22"/>
          <w:lang w:eastAsia="fr-FR"/>
        </w:rPr>
        <w:t>in situ</w:t>
      </w:r>
      <w:r w:rsidR="00663650">
        <w:rPr>
          <w:rFonts w:cs="Times New Roman"/>
          <w:szCs w:val="22"/>
          <w:lang w:eastAsia="fr-FR"/>
        </w:rPr>
        <w:t xml:space="preserve"> des travaux réalisés.</w:t>
      </w:r>
      <w:r w:rsidRPr="008F4D3D">
        <w:rPr>
          <w:rFonts w:cs="Times New Roman"/>
          <w:szCs w:val="22"/>
          <w:lang w:eastAsia="fr-FR"/>
        </w:rPr>
        <w:t xml:space="preserve"> De plus, une journée de démonstration de désherbage mécanique</w:t>
      </w:r>
      <w:r w:rsidR="00B00AE6">
        <w:rPr>
          <w:rFonts w:cs="Times New Roman"/>
          <w:szCs w:val="22"/>
          <w:lang w:eastAsia="fr-FR"/>
        </w:rPr>
        <w:t>, levier testé, utilisé et préc</w:t>
      </w:r>
      <w:r w:rsidR="00B00AE6" w:rsidRPr="00B00AE6">
        <w:rPr>
          <w:rFonts w:cs="Times New Roman"/>
          <w:szCs w:val="22"/>
          <w:lang w:eastAsia="fr-FR"/>
        </w:rPr>
        <w:t xml:space="preserve">onisé dans le projet Déphy expé, au lycée professionnel de Borgo, (partenaire du projet Déphy expé), </w:t>
      </w:r>
      <w:r w:rsidRPr="008F4D3D">
        <w:rPr>
          <w:rFonts w:cs="Times New Roman"/>
          <w:szCs w:val="22"/>
          <w:lang w:eastAsia="fr-FR"/>
        </w:rPr>
        <w:t xml:space="preserve"> a été organisée en partenariat avec l’ingénieur du Réseau Ferme..</w:t>
      </w:r>
    </w:p>
    <w:p w:rsidR="00F62239" w:rsidRPr="005F070D" w:rsidRDefault="00F62239" w:rsidP="001F64CD">
      <w:pPr>
        <w:shd w:val="clear" w:color="auto" w:fill="FFFFFF"/>
        <w:suppressAutoHyphens w:val="0"/>
        <w:spacing w:after="0" w:line="276" w:lineRule="auto"/>
        <w:jc w:val="both"/>
        <w:rPr>
          <w:rFonts w:cs="Times New Roman"/>
          <w:sz w:val="24"/>
          <w:lang w:eastAsia="fr-FR"/>
        </w:rPr>
      </w:pPr>
      <w:r w:rsidRPr="005F070D">
        <w:rPr>
          <w:rFonts w:cs="Times New Roman"/>
          <w:sz w:val="24"/>
          <w:lang w:eastAsia="fr-FR"/>
        </w:rPr>
        <w:br w:type="page"/>
      </w:r>
    </w:p>
    <w:p w:rsidR="00F62239" w:rsidRPr="005F070D" w:rsidRDefault="00F62239" w:rsidP="001F64CD">
      <w:pPr>
        <w:pStyle w:val="En-ttedetabledesmatires"/>
        <w:spacing w:line="276" w:lineRule="auto"/>
        <w:rPr>
          <w:rFonts w:ascii="Times New Roman" w:hAnsi="Times New Roman"/>
          <w:sz w:val="24"/>
          <w:szCs w:val="24"/>
        </w:rPr>
      </w:pPr>
      <w:r w:rsidRPr="005F070D">
        <w:rPr>
          <w:rFonts w:ascii="Times New Roman" w:hAnsi="Times New Roman"/>
          <w:sz w:val="24"/>
          <w:szCs w:val="24"/>
        </w:rPr>
        <w:lastRenderedPageBreak/>
        <w:t>Table des matières</w:t>
      </w:r>
    </w:p>
    <w:p w:rsidR="00F62239" w:rsidRPr="000F45AE" w:rsidRDefault="00F62239" w:rsidP="001F64CD">
      <w:pPr>
        <w:spacing w:line="276" w:lineRule="auto"/>
        <w:rPr>
          <w:rFonts w:cs="Times New Roman"/>
          <w:szCs w:val="22"/>
          <w:lang w:eastAsia="fr-FR"/>
        </w:rPr>
      </w:pPr>
    </w:p>
    <w:p w:rsidR="000F45AE" w:rsidRPr="000F45AE" w:rsidRDefault="00F62239" w:rsidP="000F45AE">
      <w:pPr>
        <w:pStyle w:val="TM2"/>
        <w:rPr>
          <w:rStyle w:val="Lienhypertexte"/>
          <w:rFonts w:ascii="Times New Roman" w:hAnsi="Times New Roman"/>
          <w:noProof/>
        </w:rPr>
      </w:pPr>
      <w:r w:rsidRPr="000F45AE">
        <w:rPr>
          <w:rFonts w:ascii="Times New Roman" w:hAnsi="Times New Roman"/>
        </w:rPr>
        <w:fldChar w:fldCharType="begin"/>
      </w:r>
      <w:r w:rsidRPr="000F45AE">
        <w:rPr>
          <w:rFonts w:ascii="Times New Roman" w:hAnsi="Times New Roman"/>
        </w:rPr>
        <w:instrText xml:space="preserve"> TOC \o "1-3" \h \z \u </w:instrText>
      </w:r>
      <w:r w:rsidRPr="000F45AE">
        <w:rPr>
          <w:rFonts w:ascii="Times New Roman" w:hAnsi="Times New Roman"/>
        </w:rPr>
        <w:fldChar w:fldCharType="separate"/>
      </w:r>
      <w:hyperlink w:anchor="_Toc446344563" w:history="1">
        <w:r w:rsidR="000F45AE" w:rsidRPr="000F45AE">
          <w:rPr>
            <w:rStyle w:val="Lienhypertexte"/>
            <w:rFonts w:ascii="Times New Roman" w:hAnsi="Times New Roman"/>
            <w:b/>
            <w:bCs/>
            <w:noProof/>
          </w:rPr>
          <w:t>Introduction</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_Toc446344563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1</w:t>
        </w:r>
        <w:r w:rsidR="000F45AE" w:rsidRPr="000F45AE">
          <w:rPr>
            <w:rFonts w:ascii="Times New Roman" w:hAnsi="Times New Roman"/>
            <w:noProof/>
            <w:webHidden/>
          </w:rPr>
          <w:fldChar w:fldCharType="end"/>
        </w:r>
      </w:hyperlink>
    </w:p>
    <w:p w:rsidR="000F45AE" w:rsidRPr="000F45AE" w:rsidRDefault="000F45AE" w:rsidP="000F45AE">
      <w:pPr>
        <w:rPr>
          <w:rFonts w:eastAsiaTheme="minorEastAsia" w:cs="Times New Roman"/>
          <w:szCs w:val="22"/>
          <w:lang w:eastAsia="en-US"/>
        </w:rPr>
      </w:pPr>
    </w:p>
    <w:p w:rsidR="000F45AE" w:rsidRPr="000F45AE" w:rsidRDefault="000F45AE" w:rsidP="000F45AE">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Cs w:val="22"/>
        </w:rPr>
      </w:pPr>
      <w:r w:rsidRPr="000F45AE">
        <w:rPr>
          <w:rFonts w:cs="Times New Roman"/>
          <w:b/>
          <w:szCs w:val="22"/>
        </w:rPr>
        <w:t>A L’ECHELLE DU PROJET</w:t>
      </w:r>
    </w:p>
    <w:p w:rsidR="000F45AE" w:rsidRPr="000F45AE" w:rsidRDefault="000F45AE" w:rsidP="000F45AE">
      <w:pPr>
        <w:rPr>
          <w:rFonts w:eastAsiaTheme="minorEastAsia" w:cs="Times New Roman"/>
          <w:szCs w:val="22"/>
          <w:lang w:eastAsia="en-US"/>
        </w:rPr>
      </w:pPr>
    </w:p>
    <w:p w:rsidR="000F45AE" w:rsidRPr="000F45AE" w:rsidRDefault="008F72D3">
      <w:pPr>
        <w:pStyle w:val="TM1"/>
        <w:tabs>
          <w:tab w:val="left" w:pos="440"/>
          <w:tab w:val="right" w:leader="dot" w:pos="9059"/>
        </w:tabs>
        <w:rPr>
          <w:rFonts w:eastAsiaTheme="minorEastAsia" w:cs="Times New Roman"/>
          <w:noProof/>
          <w:szCs w:val="22"/>
          <w:lang w:eastAsia="fr-FR"/>
        </w:rPr>
      </w:pPr>
      <w:hyperlink w:anchor="_Toc446344564" w:history="1">
        <w:r w:rsidR="000F45AE" w:rsidRPr="000F45AE">
          <w:rPr>
            <w:rStyle w:val="Lienhypertexte"/>
            <w:rFonts w:cs="Times New Roman"/>
            <w:noProof/>
            <w:szCs w:val="22"/>
          </w:rPr>
          <w:t>A.</w:t>
        </w:r>
        <w:r w:rsidR="000F45AE" w:rsidRPr="000F45AE">
          <w:rPr>
            <w:rFonts w:eastAsiaTheme="minorEastAsia" w:cs="Times New Roman"/>
            <w:noProof/>
            <w:szCs w:val="22"/>
            <w:lang w:eastAsia="fr-FR"/>
          </w:rPr>
          <w:tab/>
        </w:r>
        <w:r w:rsidR="000F45AE" w:rsidRPr="000F45AE">
          <w:rPr>
            <w:rStyle w:val="Lienhypertexte"/>
            <w:rFonts w:cs="Times New Roman"/>
            <w:noProof/>
            <w:szCs w:val="22"/>
          </w:rPr>
          <w:t>Description du travail réalisé</w:t>
        </w:r>
        <w:r w:rsidR="000F45AE" w:rsidRPr="000F45AE">
          <w:rPr>
            <w:rFonts w:cs="Times New Roman"/>
            <w:noProof/>
            <w:webHidden/>
            <w:szCs w:val="22"/>
          </w:rPr>
          <w:tab/>
        </w:r>
        <w:r w:rsidR="000F45AE" w:rsidRPr="000F45AE">
          <w:rPr>
            <w:rFonts w:cs="Times New Roman"/>
            <w:noProof/>
            <w:webHidden/>
            <w:szCs w:val="22"/>
          </w:rPr>
          <w:fldChar w:fldCharType="begin"/>
        </w:r>
        <w:r w:rsidR="000F45AE" w:rsidRPr="000F45AE">
          <w:rPr>
            <w:rFonts w:cs="Times New Roman"/>
            <w:noProof/>
            <w:webHidden/>
            <w:szCs w:val="22"/>
          </w:rPr>
          <w:instrText xml:space="preserve"> PAGEREF _Toc446344564 \h </w:instrText>
        </w:r>
        <w:r w:rsidR="000F45AE" w:rsidRPr="000F45AE">
          <w:rPr>
            <w:rFonts w:cs="Times New Roman"/>
            <w:noProof/>
            <w:webHidden/>
            <w:szCs w:val="22"/>
          </w:rPr>
        </w:r>
        <w:r w:rsidR="000F45AE" w:rsidRPr="000F45AE">
          <w:rPr>
            <w:rFonts w:cs="Times New Roman"/>
            <w:noProof/>
            <w:webHidden/>
            <w:szCs w:val="22"/>
          </w:rPr>
          <w:fldChar w:fldCharType="separate"/>
        </w:r>
        <w:r w:rsidR="000F45AE" w:rsidRPr="000F45AE">
          <w:rPr>
            <w:rFonts w:cs="Times New Roman"/>
            <w:noProof/>
            <w:webHidden/>
            <w:szCs w:val="22"/>
          </w:rPr>
          <w:t>4</w:t>
        </w:r>
        <w:r w:rsidR="000F45AE" w:rsidRPr="000F45AE">
          <w:rPr>
            <w:rFonts w:cs="Times New Roman"/>
            <w:noProof/>
            <w:webHidden/>
            <w:szCs w:val="22"/>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65" w:history="1">
        <w:r w:rsidR="000F45AE" w:rsidRPr="000F45AE">
          <w:rPr>
            <w:rStyle w:val="Lienhypertexte"/>
            <w:rFonts w:ascii="Times New Roman" w:hAnsi="Times New Roman"/>
            <w:noProof/>
          </w:rPr>
          <w:t>a)</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Choix des parcelles</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_Toc446344565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4</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66" w:history="1">
        <w:r w:rsidR="000F45AE" w:rsidRPr="000F45AE">
          <w:rPr>
            <w:rStyle w:val="Lienhypertexte"/>
            <w:rFonts w:ascii="Times New Roman" w:hAnsi="Times New Roman"/>
            <w:noProof/>
          </w:rPr>
          <w:t>b)</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Choix des systèmes de culture</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_Toc446344566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4</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67" w:history="1">
        <w:r w:rsidR="000F45AE" w:rsidRPr="000F45AE">
          <w:rPr>
            <w:rStyle w:val="Lienhypertexte"/>
            <w:rFonts w:ascii="Times New Roman" w:hAnsi="Times New Roman"/>
            <w:noProof/>
          </w:rPr>
          <w:t>c)</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Les indicateurs utilisés</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_Toc446344567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4</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68" w:history="1">
        <w:r w:rsidR="000F45AE" w:rsidRPr="000F45AE">
          <w:rPr>
            <w:rStyle w:val="Lienhypertexte"/>
            <w:rFonts w:ascii="Times New Roman" w:hAnsi="Times New Roman"/>
            <w:noProof/>
          </w:rPr>
          <w:t>d)</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Les leviers utilisés</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_Toc446344568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5</w:t>
        </w:r>
        <w:r w:rsidR="000F45AE" w:rsidRPr="000F45AE">
          <w:rPr>
            <w:rFonts w:ascii="Times New Roman" w:hAnsi="Times New Roman"/>
            <w:noProof/>
            <w:webHidden/>
          </w:rPr>
          <w:fldChar w:fldCharType="end"/>
        </w:r>
      </w:hyperlink>
    </w:p>
    <w:p w:rsidR="000F45AE" w:rsidRPr="000F45AE" w:rsidRDefault="008F72D3">
      <w:pPr>
        <w:pStyle w:val="TM1"/>
        <w:tabs>
          <w:tab w:val="left" w:pos="440"/>
          <w:tab w:val="right" w:leader="dot" w:pos="9059"/>
        </w:tabs>
        <w:rPr>
          <w:rFonts w:eastAsiaTheme="minorEastAsia" w:cs="Times New Roman"/>
          <w:noProof/>
          <w:szCs w:val="22"/>
          <w:lang w:eastAsia="fr-FR"/>
        </w:rPr>
      </w:pPr>
      <w:hyperlink w:anchor="_Toc446344569" w:history="1">
        <w:r w:rsidR="000F45AE" w:rsidRPr="000F45AE">
          <w:rPr>
            <w:rStyle w:val="Lienhypertexte"/>
            <w:rFonts w:cs="Times New Roman"/>
            <w:noProof/>
            <w:szCs w:val="22"/>
          </w:rPr>
          <w:t>B.</w:t>
        </w:r>
        <w:r w:rsidR="000F45AE" w:rsidRPr="000F45AE">
          <w:rPr>
            <w:rFonts w:eastAsiaTheme="minorEastAsia" w:cs="Times New Roman"/>
            <w:noProof/>
            <w:szCs w:val="22"/>
            <w:lang w:eastAsia="fr-FR"/>
          </w:rPr>
          <w:tab/>
        </w:r>
        <w:r w:rsidR="000F45AE" w:rsidRPr="000F45AE">
          <w:rPr>
            <w:rStyle w:val="Lienhypertexte"/>
            <w:rFonts w:cs="Times New Roman"/>
            <w:noProof/>
            <w:szCs w:val="22"/>
          </w:rPr>
          <w:t>Bilan à mi-parcours -Perspectives</w:t>
        </w:r>
        <w:r w:rsidR="000F45AE" w:rsidRPr="000F45AE">
          <w:rPr>
            <w:rFonts w:cs="Times New Roman"/>
            <w:noProof/>
            <w:webHidden/>
            <w:szCs w:val="22"/>
          </w:rPr>
          <w:tab/>
        </w:r>
        <w:r w:rsidR="000F45AE" w:rsidRPr="000F45AE">
          <w:rPr>
            <w:rFonts w:cs="Times New Roman"/>
            <w:noProof/>
            <w:webHidden/>
            <w:szCs w:val="22"/>
          </w:rPr>
          <w:fldChar w:fldCharType="begin"/>
        </w:r>
        <w:r w:rsidR="000F45AE" w:rsidRPr="000F45AE">
          <w:rPr>
            <w:rFonts w:cs="Times New Roman"/>
            <w:noProof/>
            <w:webHidden/>
            <w:szCs w:val="22"/>
          </w:rPr>
          <w:instrText xml:space="preserve"> PAGEREF _Toc446344569 \h </w:instrText>
        </w:r>
        <w:r w:rsidR="000F45AE" w:rsidRPr="000F45AE">
          <w:rPr>
            <w:rFonts w:cs="Times New Roman"/>
            <w:noProof/>
            <w:webHidden/>
            <w:szCs w:val="22"/>
          </w:rPr>
        </w:r>
        <w:r w:rsidR="000F45AE" w:rsidRPr="000F45AE">
          <w:rPr>
            <w:rFonts w:cs="Times New Roman"/>
            <w:noProof/>
            <w:webHidden/>
            <w:szCs w:val="22"/>
          </w:rPr>
          <w:fldChar w:fldCharType="separate"/>
        </w:r>
        <w:r w:rsidR="000F45AE" w:rsidRPr="000F45AE">
          <w:rPr>
            <w:rFonts w:cs="Times New Roman"/>
            <w:noProof/>
            <w:webHidden/>
            <w:szCs w:val="22"/>
          </w:rPr>
          <w:t>7</w:t>
        </w:r>
        <w:r w:rsidR="000F45AE" w:rsidRPr="000F45AE">
          <w:rPr>
            <w:rFonts w:cs="Times New Roman"/>
            <w:noProof/>
            <w:webHidden/>
            <w:szCs w:val="22"/>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70" w:history="1">
        <w:r w:rsidR="000F45AE" w:rsidRPr="000F45AE">
          <w:rPr>
            <w:rStyle w:val="Lienhypertexte"/>
            <w:rFonts w:ascii="Times New Roman" w:hAnsi="Times New Roman"/>
            <w:noProof/>
          </w:rPr>
          <w:t>a)</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Méthodologie d’expérimentation « système »</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_Toc446344570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8</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71" w:history="1">
        <w:r w:rsidR="000F45AE" w:rsidRPr="000F45AE">
          <w:rPr>
            <w:rStyle w:val="Lienhypertexte"/>
            <w:rFonts w:ascii="Times New Roman" w:hAnsi="Times New Roman"/>
            <w:noProof/>
          </w:rPr>
          <w:t>b)</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Résultats obtenus et diffusables</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_Toc446344571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8</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Style w:val="Lienhypertexte"/>
          <w:rFonts w:ascii="Times New Roman" w:hAnsi="Times New Roman"/>
          <w:noProof/>
        </w:rPr>
      </w:pPr>
      <w:hyperlink w:anchor="_Toc446344572" w:history="1">
        <w:r w:rsidR="000F45AE" w:rsidRPr="000F45AE">
          <w:rPr>
            <w:rStyle w:val="Lienhypertexte"/>
            <w:rFonts w:ascii="Times New Roman" w:hAnsi="Times New Roman"/>
            <w:noProof/>
          </w:rPr>
          <w:t>c)</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L’après Déphy Expé</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_Toc446344572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9</w:t>
        </w:r>
        <w:r w:rsidR="000F45AE" w:rsidRPr="000F45AE">
          <w:rPr>
            <w:rFonts w:ascii="Times New Roman" w:hAnsi="Times New Roman"/>
            <w:noProof/>
            <w:webHidden/>
          </w:rPr>
          <w:fldChar w:fldCharType="end"/>
        </w:r>
      </w:hyperlink>
    </w:p>
    <w:p w:rsidR="000F45AE" w:rsidRPr="000F45AE" w:rsidRDefault="000F45AE" w:rsidP="000F45AE">
      <w:pPr>
        <w:rPr>
          <w:rFonts w:eastAsiaTheme="minorEastAsia" w:cs="Times New Roman"/>
          <w:szCs w:val="22"/>
          <w:lang w:eastAsia="en-US"/>
        </w:rPr>
      </w:pPr>
    </w:p>
    <w:p w:rsidR="000F45AE" w:rsidRPr="000F45AE" w:rsidRDefault="000F45AE" w:rsidP="000F45AE">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Cs w:val="22"/>
        </w:rPr>
      </w:pPr>
      <w:r w:rsidRPr="000F45AE">
        <w:rPr>
          <w:rFonts w:cs="Times New Roman"/>
          <w:b/>
          <w:szCs w:val="22"/>
        </w:rPr>
        <w:t>A L’ECHELLE DES SITES EXPERIMENTAUX</w:t>
      </w:r>
    </w:p>
    <w:p w:rsidR="000F45AE" w:rsidRPr="000F45AE" w:rsidRDefault="000F45AE" w:rsidP="000F45AE">
      <w:pPr>
        <w:rPr>
          <w:rFonts w:eastAsiaTheme="minorEastAsia" w:cs="Times New Roman"/>
          <w:szCs w:val="22"/>
          <w:lang w:eastAsia="en-US"/>
        </w:rPr>
      </w:pPr>
    </w:p>
    <w:p w:rsidR="000F45AE" w:rsidRPr="000F45AE" w:rsidRDefault="008F72D3">
      <w:pPr>
        <w:pStyle w:val="TM1"/>
        <w:tabs>
          <w:tab w:val="left" w:pos="440"/>
          <w:tab w:val="right" w:leader="dot" w:pos="9059"/>
        </w:tabs>
        <w:rPr>
          <w:rFonts w:eastAsiaTheme="minorEastAsia" w:cs="Times New Roman"/>
          <w:noProof/>
          <w:szCs w:val="22"/>
          <w:lang w:eastAsia="fr-FR"/>
        </w:rPr>
      </w:pPr>
      <w:hyperlink w:anchor="_Toc446344573" w:history="1">
        <w:r w:rsidR="000F45AE" w:rsidRPr="000F45AE">
          <w:rPr>
            <w:rStyle w:val="Lienhypertexte"/>
            <w:rFonts w:cs="Times New Roman"/>
            <w:noProof/>
            <w:szCs w:val="22"/>
          </w:rPr>
          <w:t>A.</w:t>
        </w:r>
        <w:r w:rsidR="000F45AE" w:rsidRPr="000F45AE">
          <w:rPr>
            <w:rFonts w:eastAsiaTheme="minorEastAsia" w:cs="Times New Roman"/>
            <w:noProof/>
            <w:szCs w:val="22"/>
            <w:lang w:eastAsia="fr-FR"/>
          </w:rPr>
          <w:tab/>
        </w:r>
        <w:r w:rsidR="000F45AE" w:rsidRPr="000F45AE">
          <w:rPr>
            <w:rStyle w:val="Lienhypertexte"/>
            <w:rFonts w:cs="Times New Roman"/>
            <w:noProof/>
            <w:szCs w:val="22"/>
          </w:rPr>
          <w:t>Dispositif expérimental et description du milieu</w:t>
        </w:r>
        <w:r w:rsidR="000F45AE" w:rsidRPr="000F45AE">
          <w:rPr>
            <w:rFonts w:cs="Times New Roman"/>
            <w:noProof/>
            <w:webHidden/>
            <w:szCs w:val="22"/>
          </w:rPr>
          <w:tab/>
        </w:r>
        <w:r w:rsidR="000F45AE" w:rsidRPr="000F45AE">
          <w:rPr>
            <w:rFonts w:cs="Times New Roman"/>
            <w:noProof/>
            <w:webHidden/>
            <w:szCs w:val="22"/>
          </w:rPr>
          <w:fldChar w:fldCharType="begin"/>
        </w:r>
        <w:r w:rsidR="000F45AE" w:rsidRPr="000F45AE">
          <w:rPr>
            <w:rFonts w:cs="Times New Roman"/>
            <w:noProof/>
            <w:webHidden/>
            <w:szCs w:val="22"/>
          </w:rPr>
          <w:instrText xml:space="preserve"> PAGEREF _Toc446344573 \h </w:instrText>
        </w:r>
        <w:r w:rsidR="000F45AE" w:rsidRPr="000F45AE">
          <w:rPr>
            <w:rFonts w:cs="Times New Roman"/>
            <w:noProof/>
            <w:webHidden/>
            <w:szCs w:val="22"/>
          </w:rPr>
        </w:r>
        <w:r w:rsidR="000F45AE" w:rsidRPr="000F45AE">
          <w:rPr>
            <w:rFonts w:cs="Times New Roman"/>
            <w:noProof/>
            <w:webHidden/>
            <w:szCs w:val="22"/>
          </w:rPr>
          <w:fldChar w:fldCharType="separate"/>
        </w:r>
        <w:r w:rsidR="000F45AE" w:rsidRPr="000F45AE">
          <w:rPr>
            <w:rFonts w:cs="Times New Roman"/>
            <w:noProof/>
            <w:webHidden/>
            <w:szCs w:val="22"/>
          </w:rPr>
          <w:t>11</w:t>
        </w:r>
        <w:r w:rsidR="000F45AE" w:rsidRPr="000F45AE">
          <w:rPr>
            <w:rFonts w:cs="Times New Roman"/>
            <w:noProof/>
            <w:webHidden/>
            <w:szCs w:val="22"/>
          </w:rPr>
          <w:fldChar w:fldCharType="end"/>
        </w:r>
      </w:hyperlink>
    </w:p>
    <w:p w:rsidR="000F45AE" w:rsidRPr="000F45AE" w:rsidRDefault="008F72D3">
      <w:pPr>
        <w:pStyle w:val="TM1"/>
        <w:tabs>
          <w:tab w:val="left" w:pos="440"/>
          <w:tab w:val="right" w:leader="dot" w:pos="9059"/>
        </w:tabs>
        <w:rPr>
          <w:rFonts w:eastAsiaTheme="minorEastAsia" w:cs="Times New Roman"/>
          <w:noProof/>
          <w:szCs w:val="22"/>
          <w:lang w:eastAsia="fr-FR"/>
        </w:rPr>
      </w:pPr>
      <w:hyperlink w:anchor="_Toc446344574" w:history="1">
        <w:r w:rsidR="000F45AE" w:rsidRPr="000F45AE">
          <w:rPr>
            <w:rStyle w:val="Lienhypertexte"/>
            <w:rFonts w:cs="Times New Roman"/>
            <w:noProof/>
            <w:szCs w:val="22"/>
          </w:rPr>
          <w:t>B.</w:t>
        </w:r>
        <w:r w:rsidR="000F45AE" w:rsidRPr="000F45AE">
          <w:rPr>
            <w:rFonts w:eastAsiaTheme="minorEastAsia" w:cs="Times New Roman"/>
            <w:noProof/>
            <w:szCs w:val="22"/>
            <w:lang w:eastAsia="fr-FR"/>
          </w:rPr>
          <w:tab/>
        </w:r>
        <w:r w:rsidR="000F45AE" w:rsidRPr="000F45AE">
          <w:rPr>
            <w:rStyle w:val="Lienhypertexte"/>
            <w:rFonts w:cs="Times New Roman"/>
            <w:noProof/>
            <w:szCs w:val="22"/>
          </w:rPr>
          <w:t>Bilan de la campagne</w:t>
        </w:r>
        <w:r w:rsidR="000F45AE" w:rsidRPr="000F45AE">
          <w:rPr>
            <w:rFonts w:cs="Times New Roman"/>
            <w:noProof/>
            <w:webHidden/>
            <w:szCs w:val="22"/>
          </w:rPr>
          <w:tab/>
        </w:r>
        <w:r w:rsidR="000F45AE" w:rsidRPr="000F45AE">
          <w:rPr>
            <w:rFonts w:cs="Times New Roman"/>
            <w:noProof/>
            <w:webHidden/>
            <w:szCs w:val="22"/>
          </w:rPr>
          <w:fldChar w:fldCharType="begin"/>
        </w:r>
        <w:r w:rsidR="000F45AE" w:rsidRPr="000F45AE">
          <w:rPr>
            <w:rFonts w:cs="Times New Roman"/>
            <w:noProof/>
            <w:webHidden/>
            <w:szCs w:val="22"/>
          </w:rPr>
          <w:instrText xml:space="preserve"> PAGEREF _Toc446344574 \h </w:instrText>
        </w:r>
        <w:r w:rsidR="000F45AE" w:rsidRPr="000F45AE">
          <w:rPr>
            <w:rFonts w:cs="Times New Roman"/>
            <w:noProof/>
            <w:webHidden/>
            <w:szCs w:val="22"/>
          </w:rPr>
        </w:r>
        <w:r w:rsidR="000F45AE" w:rsidRPr="000F45AE">
          <w:rPr>
            <w:rFonts w:cs="Times New Roman"/>
            <w:noProof/>
            <w:webHidden/>
            <w:szCs w:val="22"/>
          </w:rPr>
          <w:fldChar w:fldCharType="separate"/>
        </w:r>
        <w:r w:rsidR="000F45AE" w:rsidRPr="000F45AE">
          <w:rPr>
            <w:rFonts w:cs="Times New Roman"/>
            <w:noProof/>
            <w:webHidden/>
            <w:szCs w:val="22"/>
          </w:rPr>
          <w:t>11</w:t>
        </w:r>
        <w:r w:rsidR="000F45AE" w:rsidRPr="000F45AE">
          <w:rPr>
            <w:rFonts w:cs="Times New Roman"/>
            <w:noProof/>
            <w:webHidden/>
            <w:szCs w:val="22"/>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75" w:history="1">
        <w:r w:rsidR="000F45AE" w:rsidRPr="000F45AE">
          <w:rPr>
            <w:rStyle w:val="Lienhypertexte"/>
            <w:rFonts w:ascii="Times New Roman" w:hAnsi="Times New Roman"/>
            <w:noProof/>
          </w:rPr>
          <w:t>a)</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Les agrumes</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_Toc446344575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11</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76" w:history="1">
        <w:r w:rsidR="000F45AE" w:rsidRPr="000F45AE">
          <w:rPr>
            <w:rStyle w:val="Lienhypertexte"/>
            <w:rFonts w:ascii="Times New Roman" w:hAnsi="Times New Roman"/>
            <w:noProof/>
          </w:rPr>
          <w:t>b)</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Le réseau ferme</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_Toc446344576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24</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77" w:history="1">
        <w:r w:rsidR="000F45AE" w:rsidRPr="000F45AE">
          <w:rPr>
            <w:rStyle w:val="Lienhypertexte"/>
            <w:rFonts w:ascii="Times New Roman" w:hAnsi="Times New Roman"/>
            <w:noProof/>
          </w:rPr>
          <w:t>c)</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Le kiwi</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_Toc446344577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27</w:t>
        </w:r>
        <w:r w:rsidR="000F45AE" w:rsidRPr="000F45AE">
          <w:rPr>
            <w:rFonts w:ascii="Times New Roman" w:hAnsi="Times New Roman"/>
            <w:noProof/>
            <w:webHidden/>
          </w:rPr>
          <w:fldChar w:fldCharType="end"/>
        </w:r>
      </w:hyperlink>
    </w:p>
    <w:p w:rsidR="000F45AE" w:rsidRPr="000F45AE" w:rsidRDefault="008F72D3">
      <w:pPr>
        <w:pStyle w:val="TM3"/>
        <w:tabs>
          <w:tab w:val="left" w:pos="880"/>
          <w:tab w:val="right" w:leader="dot" w:pos="9059"/>
        </w:tabs>
        <w:rPr>
          <w:rFonts w:ascii="Times New Roman" w:eastAsiaTheme="minorEastAsia" w:hAnsi="Times New Roman"/>
          <w:noProof/>
          <w:lang w:eastAsia="fr-FR"/>
        </w:rPr>
      </w:pPr>
      <w:hyperlink w:anchor="_Toc446344578" w:history="1">
        <w:r w:rsidR="000F45AE" w:rsidRPr="000F45AE">
          <w:rPr>
            <w:rStyle w:val="Lienhypertexte"/>
            <w:rFonts w:ascii="Times New Roman" w:hAnsi="Times New Roman"/>
            <w:noProof/>
          </w:rPr>
          <w:t>d)</w:t>
        </w:r>
        <w:r w:rsidR="000F45AE" w:rsidRPr="000F45AE">
          <w:rPr>
            <w:rFonts w:ascii="Times New Roman" w:eastAsiaTheme="minorEastAsia" w:hAnsi="Times New Roman"/>
            <w:noProof/>
            <w:lang w:eastAsia="fr-FR"/>
          </w:rPr>
          <w:tab/>
        </w:r>
        <w:r w:rsidR="000F45AE" w:rsidRPr="000F45AE">
          <w:rPr>
            <w:rStyle w:val="Lienhypertexte"/>
            <w:rFonts w:ascii="Times New Roman" w:hAnsi="Times New Roman"/>
            <w:noProof/>
          </w:rPr>
          <w:t>La vigne</w:t>
        </w:r>
        <w:r w:rsidR="000F45AE" w:rsidRPr="000F45AE">
          <w:rPr>
            <w:rFonts w:ascii="Times New Roman" w:hAnsi="Times New Roman"/>
            <w:noProof/>
            <w:webHidden/>
          </w:rPr>
          <w:tab/>
        </w:r>
        <w:r w:rsidR="000F45AE" w:rsidRPr="000F45AE">
          <w:rPr>
            <w:rFonts w:ascii="Times New Roman" w:hAnsi="Times New Roman"/>
            <w:noProof/>
            <w:webHidden/>
          </w:rPr>
          <w:fldChar w:fldCharType="begin"/>
        </w:r>
        <w:r w:rsidR="000F45AE" w:rsidRPr="000F45AE">
          <w:rPr>
            <w:rFonts w:ascii="Times New Roman" w:hAnsi="Times New Roman"/>
            <w:noProof/>
            <w:webHidden/>
          </w:rPr>
          <w:instrText xml:space="preserve"> PAGEREF _Toc446344578 \h </w:instrText>
        </w:r>
        <w:r w:rsidR="000F45AE" w:rsidRPr="000F45AE">
          <w:rPr>
            <w:rFonts w:ascii="Times New Roman" w:hAnsi="Times New Roman"/>
            <w:noProof/>
            <w:webHidden/>
          </w:rPr>
        </w:r>
        <w:r w:rsidR="000F45AE" w:rsidRPr="000F45AE">
          <w:rPr>
            <w:rFonts w:ascii="Times New Roman" w:hAnsi="Times New Roman"/>
            <w:noProof/>
            <w:webHidden/>
          </w:rPr>
          <w:fldChar w:fldCharType="separate"/>
        </w:r>
        <w:r w:rsidR="000F45AE" w:rsidRPr="000F45AE">
          <w:rPr>
            <w:rFonts w:ascii="Times New Roman" w:hAnsi="Times New Roman"/>
            <w:noProof/>
            <w:webHidden/>
          </w:rPr>
          <w:t>36</w:t>
        </w:r>
        <w:r w:rsidR="000F45AE" w:rsidRPr="000F45AE">
          <w:rPr>
            <w:rFonts w:ascii="Times New Roman" w:hAnsi="Times New Roman"/>
            <w:noProof/>
            <w:webHidden/>
          </w:rPr>
          <w:fldChar w:fldCharType="end"/>
        </w:r>
      </w:hyperlink>
    </w:p>
    <w:p w:rsidR="000F45AE" w:rsidRPr="000F45AE" w:rsidRDefault="008F72D3">
      <w:pPr>
        <w:pStyle w:val="TM1"/>
        <w:tabs>
          <w:tab w:val="left" w:pos="440"/>
          <w:tab w:val="right" w:leader="dot" w:pos="9059"/>
        </w:tabs>
        <w:rPr>
          <w:rFonts w:eastAsiaTheme="minorEastAsia" w:cs="Times New Roman"/>
          <w:noProof/>
          <w:szCs w:val="22"/>
          <w:lang w:eastAsia="fr-FR"/>
        </w:rPr>
      </w:pPr>
      <w:hyperlink w:anchor="_Toc446344579" w:history="1">
        <w:r w:rsidR="000F45AE" w:rsidRPr="000F45AE">
          <w:rPr>
            <w:rStyle w:val="Lienhypertexte"/>
            <w:rFonts w:cs="Times New Roman"/>
            <w:noProof/>
            <w:szCs w:val="22"/>
          </w:rPr>
          <w:t>C.</w:t>
        </w:r>
        <w:r w:rsidR="000F45AE" w:rsidRPr="000F45AE">
          <w:rPr>
            <w:rFonts w:eastAsiaTheme="minorEastAsia" w:cs="Times New Roman"/>
            <w:noProof/>
            <w:szCs w:val="22"/>
            <w:lang w:eastAsia="fr-FR"/>
          </w:rPr>
          <w:tab/>
        </w:r>
        <w:r w:rsidR="000F45AE" w:rsidRPr="000F45AE">
          <w:rPr>
            <w:rStyle w:val="Lienhypertexte"/>
            <w:rFonts w:cs="Times New Roman"/>
            <w:noProof/>
            <w:szCs w:val="22"/>
          </w:rPr>
          <w:t>Bilan à mi-parcous</w:t>
        </w:r>
        <w:r w:rsidR="000F45AE" w:rsidRPr="000F45AE">
          <w:rPr>
            <w:rFonts w:cs="Times New Roman"/>
            <w:noProof/>
            <w:webHidden/>
            <w:szCs w:val="22"/>
          </w:rPr>
          <w:tab/>
        </w:r>
        <w:r w:rsidR="000F45AE" w:rsidRPr="000F45AE">
          <w:rPr>
            <w:rFonts w:cs="Times New Roman"/>
            <w:noProof/>
            <w:webHidden/>
            <w:szCs w:val="22"/>
          </w:rPr>
          <w:fldChar w:fldCharType="begin"/>
        </w:r>
        <w:r w:rsidR="000F45AE" w:rsidRPr="000F45AE">
          <w:rPr>
            <w:rFonts w:cs="Times New Roman"/>
            <w:noProof/>
            <w:webHidden/>
            <w:szCs w:val="22"/>
          </w:rPr>
          <w:instrText xml:space="preserve"> PAGEREF _Toc446344579 \h </w:instrText>
        </w:r>
        <w:r w:rsidR="000F45AE" w:rsidRPr="000F45AE">
          <w:rPr>
            <w:rFonts w:cs="Times New Roman"/>
            <w:noProof/>
            <w:webHidden/>
            <w:szCs w:val="22"/>
          </w:rPr>
        </w:r>
        <w:r w:rsidR="000F45AE" w:rsidRPr="000F45AE">
          <w:rPr>
            <w:rFonts w:cs="Times New Roman"/>
            <w:noProof/>
            <w:webHidden/>
            <w:szCs w:val="22"/>
          </w:rPr>
          <w:fldChar w:fldCharType="separate"/>
        </w:r>
        <w:r w:rsidR="000F45AE" w:rsidRPr="000F45AE">
          <w:rPr>
            <w:rFonts w:cs="Times New Roman"/>
            <w:noProof/>
            <w:webHidden/>
            <w:szCs w:val="22"/>
          </w:rPr>
          <w:t>43</w:t>
        </w:r>
        <w:r w:rsidR="000F45AE" w:rsidRPr="000F45AE">
          <w:rPr>
            <w:rFonts w:cs="Times New Roman"/>
            <w:noProof/>
            <w:webHidden/>
            <w:szCs w:val="22"/>
          </w:rPr>
          <w:fldChar w:fldCharType="end"/>
        </w:r>
      </w:hyperlink>
    </w:p>
    <w:p w:rsidR="000F45AE" w:rsidRPr="000F45AE" w:rsidRDefault="008F72D3">
      <w:pPr>
        <w:pStyle w:val="TM1"/>
        <w:tabs>
          <w:tab w:val="right" w:leader="dot" w:pos="9059"/>
        </w:tabs>
        <w:rPr>
          <w:rFonts w:eastAsiaTheme="minorEastAsia" w:cs="Times New Roman"/>
          <w:noProof/>
          <w:szCs w:val="22"/>
          <w:lang w:eastAsia="fr-FR"/>
        </w:rPr>
      </w:pPr>
      <w:hyperlink w:anchor="_Toc446344580" w:history="1">
        <w:r w:rsidR="000F45AE" w:rsidRPr="000F45AE">
          <w:rPr>
            <w:rStyle w:val="Lienhypertexte"/>
            <w:rFonts w:cs="Times New Roman"/>
            <w:noProof/>
            <w:szCs w:val="22"/>
          </w:rPr>
          <w:t>ANNEXES</w:t>
        </w:r>
        <w:r w:rsidR="000F45AE" w:rsidRPr="000F45AE">
          <w:rPr>
            <w:rFonts w:cs="Times New Roman"/>
            <w:noProof/>
            <w:webHidden/>
            <w:szCs w:val="22"/>
          </w:rPr>
          <w:tab/>
        </w:r>
        <w:r w:rsidR="000F45AE" w:rsidRPr="000F45AE">
          <w:rPr>
            <w:rFonts w:cs="Times New Roman"/>
            <w:noProof/>
            <w:webHidden/>
            <w:szCs w:val="22"/>
          </w:rPr>
          <w:fldChar w:fldCharType="begin"/>
        </w:r>
        <w:r w:rsidR="000F45AE" w:rsidRPr="000F45AE">
          <w:rPr>
            <w:rFonts w:cs="Times New Roman"/>
            <w:noProof/>
            <w:webHidden/>
            <w:szCs w:val="22"/>
          </w:rPr>
          <w:instrText xml:space="preserve"> PAGEREF _Toc446344580 \h </w:instrText>
        </w:r>
        <w:r w:rsidR="000F45AE" w:rsidRPr="000F45AE">
          <w:rPr>
            <w:rFonts w:cs="Times New Roman"/>
            <w:noProof/>
            <w:webHidden/>
            <w:szCs w:val="22"/>
          </w:rPr>
        </w:r>
        <w:r w:rsidR="000F45AE" w:rsidRPr="000F45AE">
          <w:rPr>
            <w:rFonts w:cs="Times New Roman"/>
            <w:noProof/>
            <w:webHidden/>
            <w:szCs w:val="22"/>
          </w:rPr>
          <w:fldChar w:fldCharType="separate"/>
        </w:r>
        <w:r w:rsidR="000F45AE" w:rsidRPr="000F45AE">
          <w:rPr>
            <w:rFonts w:cs="Times New Roman"/>
            <w:noProof/>
            <w:webHidden/>
            <w:szCs w:val="22"/>
          </w:rPr>
          <w:t>44</w:t>
        </w:r>
        <w:r w:rsidR="000F45AE" w:rsidRPr="000F45AE">
          <w:rPr>
            <w:rFonts w:cs="Times New Roman"/>
            <w:noProof/>
            <w:webHidden/>
            <w:szCs w:val="22"/>
          </w:rPr>
          <w:fldChar w:fldCharType="end"/>
        </w:r>
      </w:hyperlink>
    </w:p>
    <w:p w:rsidR="00784F2E" w:rsidRDefault="00F62239" w:rsidP="00784F2E">
      <w:pPr>
        <w:spacing w:line="276" w:lineRule="auto"/>
        <w:rPr>
          <w:rFonts w:cs="Times New Roman"/>
          <w:bCs/>
          <w:sz w:val="24"/>
        </w:rPr>
      </w:pPr>
      <w:r w:rsidRPr="000F45AE">
        <w:rPr>
          <w:rFonts w:cs="Times New Roman"/>
          <w:bCs/>
          <w:szCs w:val="22"/>
        </w:rPr>
        <w:fldChar w:fldCharType="end"/>
      </w: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84F2E" w:rsidRDefault="00784F2E" w:rsidP="00784F2E">
      <w:pPr>
        <w:spacing w:line="276" w:lineRule="auto"/>
        <w:rPr>
          <w:rFonts w:cs="Times New Roman"/>
          <w:bCs/>
          <w:sz w:val="24"/>
        </w:rPr>
      </w:pPr>
    </w:p>
    <w:p w:rsidR="007A222C" w:rsidRPr="00F82DA1" w:rsidRDefault="007A222C" w:rsidP="001F64CD">
      <w:pPr>
        <w:spacing w:line="276" w:lineRule="auto"/>
        <w:rPr>
          <w:rFonts w:cs="Times New Roman"/>
          <w:bCs/>
          <w:sz w:val="24"/>
        </w:rPr>
      </w:pPr>
    </w:p>
    <w:p w:rsidR="00F3295A" w:rsidRPr="005F070D" w:rsidRDefault="00F3295A" w:rsidP="001F64CD">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4"/>
        </w:rPr>
      </w:pPr>
      <w:r w:rsidRPr="005F070D">
        <w:rPr>
          <w:rFonts w:cs="Times New Roman"/>
          <w:b/>
          <w:sz w:val="24"/>
        </w:rPr>
        <w:lastRenderedPageBreak/>
        <w:t>A L’ECHELLE DU PROJET</w:t>
      </w:r>
    </w:p>
    <w:p w:rsidR="007B47DF" w:rsidRPr="008C33CC" w:rsidRDefault="00980884" w:rsidP="001F64CD">
      <w:pPr>
        <w:pStyle w:val="Titre1"/>
        <w:numPr>
          <w:ilvl w:val="0"/>
          <w:numId w:val="34"/>
        </w:numPr>
        <w:spacing w:line="276" w:lineRule="auto"/>
        <w:rPr>
          <w:rFonts w:ascii="Times New Roman" w:hAnsi="Times New Roman"/>
        </w:rPr>
      </w:pPr>
      <w:bookmarkStart w:id="4" w:name="_Toc446344564"/>
      <w:r w:rsidRPr="008C33CC">
        <w:rPr>
          <w:rFonts w:ascii="Times New Roman" w:hAnsi="Times New Roman"/>
        </w:rPr>
        <w:t>Description du t</w:t>
      </w:r>
      <w:r w:rsidR="00C66E84" w:rsidRPr="008C33CC">
        <w:rPr>
          <w:rFonts w:ascii="Times New Roman" w:hAnsi="Times New Roman"/>
        </w:rPr>
        <w:t>ravail réalisé</w:t>
      </w:r>
      <w:bookmarkEnd w:id="4"/>
      <w:r w:rsidR="00C66E84" w:rsidRPr="008C33CC">
        <w:rPr>
          <w:rFonts w:ascii="Times New Roman" w:hAnsi="Times New Roman"/>
        </w:rPr>
        <w:t xml:space="preserve"> </w:t>
      </w:r>
      <w:bookmarkStart w:id="5" w:name="_Toc380653847"/>
    </w:p>
    <w:p w:rsidR="008C33CC" w:rsidRPr="008C33CC" w:rsidRDefault="008C33CC" w:rsidP="008C33CC">
      <w:pPr>
        <w:rPr>
          <w:lang w:eastAsia="en-US"/>
        </w:rPr>
      </w:pPr>
    </w:p>
    <w:p w:rsidR="007B47DF" w:rsidRDefault="007B47DF" w:rsidP="001F64CD">
      <w:pPr>
        <w:pStyle w:val="Titre3"/>
        <w:numPr>
          <w:ilvl w:val="0"/>
          <w:numId w:val="32"/>
        </w:numPr>
        <w:spacing w:line="276" w:lineRule="auto"/>
        <w:rPr>
          <w:rFonts w:ascii="Times New Roman" w:hAnsi="Times New Roman"/>
          <w:sz w:val="24"/>
          <w:szCs w:val="24"/>
        </w:rPr>
      </w:pPr>
      <w:bookmarkStart w:id="6" w:name="_Toc380998559"/>
      <w:bookmarkStart w:id="7" w:name="_Toc446344565"/>
      <w:r w:rsidRPr="005F070D">
        <w:rPr>
          <w:rFonts w:ascii="Times New Roman" w:hAnsi="Times New Roman"/>
          <w:sz w:val="24"/>
          <w:szCs w:val="24"/>
        </w:rPr>
        <w:t>Choix des parcelles</w:t>
      </w:r>
      <w:bookmarkEnd w:id="5"/>
      <w:bookmarkEnd w:id="6"/>
      <w:bookmarkEnd w:id="7"/>
    </w:p>
    <w:p w:rsidR="008C33CC" w:rsidRDefault="001C7828" w:rsidP="00AE2CF7">
      <w:pPr>
        <w:suppressAutoHyphens w:val="0"/>
        <w:spacing w:after="200" w:line="276" w:lineRule="auto"/>
        <w:jc w:val="both"/>
        <w:rPr>
          <w:rFonts w:eastAsia="Calibri" w:cs="Times New Roman"/>
          <w:szCs w:val="22"/>
          <w:lang w:eastAsia="en-US"/>
        </w:rPr>
      </w:pPr>
      <w:r w:rsidRPr="008C33CC">
        <w:rPr>
          <w:rFonts w:eastAsia="Calibri" w:cs="Times New Roman"/>
          <w:szCs w:val="22"/>
          <w:lang w:eastAsia="en-US"/>
        </w:rPr>
        <w:t xml:space="preserve">Les parcelles </w:t>
      </w:r>
      <w:r w:rsidR="005215B2" w:rsidRPr="008C33CC">
        <w:rPr>
          <w:rFonts w:eastAsia="Calibri" w:cs="Times New Roman"/>
          <w:szCs w:val="22"/>
          <w:lang w:eastAsia="en-US"/>
        </w:rPr>
        <w:t xml:space="preserve">expérimentales choisies au début du projet </w:t>
      </w:r>
      <w:r w:rsidRPr="008C33CC">
        <w:rPr>
          <w:rFonts w:eastAsia="Calibri" w:cs="Times New Roman"/>
          <w:szCs w:val="22"/>
          <w:lang w:eastAsia="en-US"/>
        </w:rPr>
        <w:t>ont</w:t>
      </w:r>
      <w:r w:rsidR="005215B2" w:rsidRPr="008C33CC">
        <w:rPr>
          <w:rFonts w:eastAsia="Calibri" w:cs="Times New Roman"/>
          <w:szCs w:val="22"/>
          <w:lang w:eastAsia="en-US"/>
        </w:rPr>
        <w:t xml:space="preserve"> été conservées</w:t>
      </w:r>
      <w:r w:rsidR="007D7981" w:rsidRPr="008C33CC">
        <w:rPr>
          <w:rFonts w:eastAsia="Calibri" w:cs="Times New Roman"/>
          <w:szCs w:val="22"/>
          <w:lang w:eastAsia="en-US"/>
        </w:rPr>
        <w:t xml:space="preserve"> po</w:t>
      </w:r>
      <w:r w:rsidRPr="008C33CC">
        <w:rPr>
          <w:rFonts w:eastAsia="Calibri" w:cs="Times New Roman"/>
          <w:szCs w:val="22"/>
          <w:lang w:eastAsia="en-US"/>
        </w:rPr>
        <w:t>ur les t</w:t>
      </w:r>
      <w:r w:rsidR="007A222C">
        <w:rPr>
          <w:rFonts w:eastAsia="Calibri" w:cs="Times New Roman"/>
          <w:szCs w:val="22"/>
          <w:lang w:eastAsia="en-US"/>
        </w:rPr>
        <w:t>rois cultures entre 2013 et 2015</w:t>
      </w:r>
      <w:r w:rsidRPr="008C33CC">
        <w:rPr>
          <w:rFonts w:eastAsia="Calibri" w:cs="Times New Roman"/>
          <w:szCs w:val="22"/>
          <w:lang w:eastAsia="en-US"/>
        </w:rPr>
        <w:t>.</w:t>
      </w:r>
      <w:r w:rsidR="007D7981" w:rsidRPr="008C33CC">
        <w:rPr>
          <w:rFonts w:eastAsia="Calibri" w:cs="Times New Roman"/>
          <w:szCs w:val="22"/>
          <w:lang w:eastAsia="en-US"/>
        </w:rPr>
        <w:t xml:space="preserve"> A savoir, les parcelles de clémentiniers situées au Lycée agricole de Borgo,</w:t>
      </w:r>
      <w:r w:rsidR="00314AF7">
        <w:rPr>
          <w:rFonts w:eastAsia="Calibri" w:cs="Times New Roman"/>
          <w:szCs w:val="22"/>
          <w:lang w:eastAsia="en-US"/>
        </w:rPr>
        <w:t xml:space="preserve"> les parcelles de kiwis </w:t>
      </w:r>
      <w:r w:rsidR="007D7981" w:rsidRPr="008C33CC">
        <w:rPr>
          <w:rFonts w:eastAsia="Calibri" w:cs="Times New Roman"/>
          <w:szCs w:val="22"/>
          <w:lang w:eastAsia="en-US"/>
        </w:rPr>
        <w:t>sur le domaine de l’AREFLEC</w:t>
      </w:r>
      <w:r w:rsidR="00314AF7">
        <w:rPr>
          <w:rFonts w:eastAsia="Calibri" w:cs="Times New Roman"/>
          <w:szCs w:val="22"/>
          <w:lang w:eastAsia="en-US"/>
        </w:rPr>
        <w:t>, sur la commune de San Giuliano</w:t>
      </w:r>
      <w:r w:rsidR="008C33CC">
        <w:rPr>
          <w:rFonts w:eastAsia="Calibri" w:cs="Times New Roman"/>
          <w:szCs w:val="22"/>
          <w:lang w:eastAsia="en-US"/>
        </w:rPr>
        <w:t>.</w:t>
      </w:r>
      <w:r w:rsidR="007D7981" w:rsidRPr="008C33CC">
        <w:rPr>
          <w:rFonts w:eastAsia="Calibri" w:cs="Times New Roman"/>
          <w:szCs w:val="22"/>
          <w:lang w:eastAsia="en-US"/>
        </w:rPr>
        <w:t xml:space="preserve"> </w:t>
      </w:r>
      <w:bookmarkStart w:id="8" w:name="_Toc380653848"/>
      <w:bookmarkStart w:id="9" w:name="_Toc380998560"/>
      <w:r w:rsidR="008C33CC" w:rsidRPr="008C33CC">
        <w:rPr>
          <w:rFonts w:eastAsia="Calibri" w:cs="Times New Roman"/>
          <w:szCs w:val="22"/>
          <w:lang w:eastAsia="en-US"/>
        </w:rPr>
        <w:t>Le domaine Terra Vecchia (Clos Poggiale) nous a permis de réaliser cet essai sur une parcelle de 12</w:t>
      </w:r>
      <w:r w:rsidR="008C33CC" w:rsidRPr="007A222C">
        <w:rPr>
          <w:rFonts w:eastAsia="Calibri" w:cs="Times New Roman"/>
          <w:szCs w:val="22"/>
          <w:lang w:eastAsia="en-US"/>
        </w:rPr>
        <w:t>.</w:t>
      </w:r>
      <w:r w:rsidR="008C33CC" w:rsidRPr="008C33CC">
        <w:rPr>
          <w:rFonts w:eastAsia="Calibri" w:cs="Times New Roman"/>
          <w:szCs w:val="22"/>
          <w:lang w:eastAsia="en-US"/>
        </w:rPr>
        <w:t>66 ha de Vermentino</w:t>
      </w:r>
      <w:r w:rsidR="00314AF7">
        <w:rPr>
          <w:rFonts w:eastAsia="Calibri" w:cs="Times New Roman"/>
          <w:szCs w:val="22"/>
          <w:lang w:eastAsia="en-US"/>
        </w:rPr>
        <w:t xml:space="preserve"> sur la commune de Tallone</w:t>
      </w:r>
    </w:p>
    <w:p w:rsidR="008C33CC" w:rsidRPr="008C33CC" w:rsidRDefault="007B47DF" w:rsidP="00AE2CF7">
      <w:pPr>
        <w:pStyle w:val="Titre3"/>
        <w:numPr>
          <w:ilvl w:val="0"/>
          <w:numId w:val="32"/>
        </w:numPr>
        <w:spacing w:line="276" w:lineRule="auto"/>
      </w:pPr>
      <w:bookmarkStart w:id="10" w:name="_Toc446344566"/>
      <w:r w:rsidRPr="005F070D">
        <w:t xml:space="preserve">Choix </w:t>
      </w:r>
      <w:r w:rsidR="007B60EF" w:rsidRPr="005F070D">
        <w:t>des systèmes de culture</w:t>
      </w:r>
      <w:bookmarkEnd w:id="8"/>
      <w:bookmarkEnd w:id="9"/>
      <w:bookmarkEnd w:id="10"/>
    </w:p>
    <w:p w:rsidR="007B47DF" w:rsidRDefault="00F33294" w:rsidP="00AE2CF7">
      <w:pPr>
        <w:shd w:val="clear" w:color="auto" w:fill="FFFFFF"/>
        <w:suppressAutoHyphens w:val="0"/>
        <w:spacing w:after="0" w:line="276" w:lineRule="auto"/>
        <w:jc w:val="both"/>
        <w:rPr>
          <w:rFonts w:eastAsia="Calibri" w:cs="Times New Roman"/>
          <w:szCs w:val="22"/>
          <w:lang w:eastAsia="en-US"/>
        </w:rPr>
      </w:pPr>
      <w:r w:rsidRPr="008C33CC">
        <w:rPr>
          <w:rFonts w:eastAsia="Calibri" w:cs="Times New Roman"/>
          <w:szCs w:val="22"/>
          <w:lang w:eastAsia="en-US"/>
        </w:rPr>
        <w:t xml:space="preserve">Les mêmes systèmes de cultures </w:t>
      </w:r>
      <w:r w:rsidR="00557208">
        <w:rPr>
          <w:rFonts w:eastAsia="Calibri" w:cs="Times New Roman"/>
          <w:szCs w:val="22"/>
          <w:lang w:eastAsia="en-US"/>
        </w:rPr>
        <w:t xml:space="preserve">(SdC) </w:t>
      </w:r>
      <w:r w:rsidRPr="008C33CC">
        <w:rPr>
          <w:rFonts w:eastAsia="Calibri" w:cs="Times New Roman"/>
          <w:szCs w:val="22"/>
          <w:lang w:eastAsia="en-US"/>
        </w:rPr>
        <w:t>ont été mis en place</w:t>
      </w:r>
      <w:r w:rsidR="005215B2" w:rsidRPr="008C33CC">
        <w:rPr>
          <w:rFonts w:eastAsia="Calibri" w:cs="Times New Roman"/>
          <w:szCs w:val="22"/>
          <w:lang w:eastAsia="en-US"/>
        </w:rPr>
        <w:t>.</w:t>
      </w:r>
    </w:p>
    <w:p w:rsidR="00557208" w:rsidRPr="008C33CC" w:rsidRDefault="00557208" w:rsidP="00AE2CF7">
      <w:pPr>
        <w:shd w:val="clear" w:color="auto" w:fill="FFFFFF"/>
        <w:suppressAutoHyphens w:val="0"/>
        <w:spacing w:after="0" w:line="276" w:lineRule="auto"/>
        <w:jc w:val="both"/>
        <w:rPr>
          <w:rFonts w:eastAsia="Calibri" w:cs="Times New Roman"/>
          <w:szCs w:val="22"/>
          <w:lang w:eastAsia="en-US"/>
        </w:rPr>
      </w:pPr>
    </w:p>
    <w:p w:rsidR="005215B2" w:rsidRPr="008C33CC" w:rsidRDefault="005215B2" w:rsidP="00AE2CF7">
      <w:pPr>
        <w:shd w:val="clear" w:color="auto" w:fill="FFFFFF"/>
        <w:suppressAutoHyphens w:val="0"/>
        <w:spacing w:after="0" w:line="276" w:lineRule="auto"/>
        <w:jc w:val="both"/>
        <w:rPr>
          <w:rFonts w:eastAsia="Calibri" w:cs="Times New Roman"/>
          <w:szCs w:val="22"/>
          <w:lang w:eastAsia="en-US"/>
        </w:rPr>
      </w:pPr>
      <w:r w:rsidRPr="00AB32CC">
        <w:rPr>
          <w:rFonts w:eastAsia="Calibri" w:cs="Times New Roman"/>
          <w:color w:val="7030A0"/>
          <w:szCs w:val="22"/>
          <w:lang w:eastAsia="en-US"/>
        </w:rPr>
        <w:t>En vigne </w:t>
      </w:r>
      <w:r w:rsidRPr="008C33CC">
        <w:rPr>
          <w:rFonts w:eastAsia="Calibri" w:cs="Times New Roman"/>
          <w:szCs w:val="22"/>
          <w:lang w:eastAsia="en-US"/>
        </w:rPr>
        <w:t xml:space="preserve">: </w:t>
      </w:r>
    </w:p>
    <w:p w:rsidR="007709D5" w:rsidRPr="007709D5" w:rsidRDefault="007709D5" w:rsidP="007709D5">
      <w:pPr>
        <w:pStyle w:val="Paragraphedeliste"/>
        <w:numPr>
          <w:ilvl w:val="0"/>
          <w:numId w:val="43"/>
        </w:numPr>
        <w:tabs>
          <w:tab w:val="left" w:pos="284"/>
        </w:tabs>
        <w:rPr>
          <w:szCs w:val="20"/>
        </w:rPr>
      </w:pPr>
      <w:r w:rsidRPr="007709D5">
        <w:rPr>
          <w:szCs w:val="20"/>
        </w:rPr>
        <w:t xml:space="preserve">SdC 1 : témoin non traité </w:t>
      </w:r>
    </w:p>
    <w:p w:rsidR="007709D5" w:rsidRPr="007709D5" w:rsidRDefault="007709D5" w:rsidP="007709D5">
      <w:pPr>
        <w:pStyle w:val="Paragraphedeliste"/>
        <w:numPr>
          <w:ilvl w:val="0"/>
          <w:numId w:val="43"/>
        </w:numPr>
        <w:tabs>
          <w:tab w:val="left" w:pos="284"/>
        </w:tabs>
        <w:rPr>
          <w:szCs w:val="20"/>
        </w:rPr>
      </w:pPr>
      <w:r w:rsidRPr="007709D5">
        <w:rPr>
          <w:szCs w:val="20"/>
        </w:rPr>
        <w:t>SdC 2 : réduction de dose</w:t>
      </w:r>
    </w:p>
    <w:p w:rsidR="007709D5" w:rsidRPr="007709D5" w:rsidRDefault="007709D5" w:rsidP="007709D5">
      <w:pPr>
        <w:pStyle w:val="Paragraphedeliste"/>
        <w:numPr>
          <w:ilvl w:val="0"/>
          <w:numId w:val="43"/>
        </w:numPr>
        <w:tabs>
          <w:tab w:val="left" w:pos="284"/>
        </w:tabs>
        <w:rPr>
          <w:szCs w:val="20"/>
        </w:rPr>
      </w:pPr>
      <w:r w:rsidRPr="007709D5">
        <w:rPr>
          <w:szCs w:val="20"/>
        </w:rPr>
        <w:t>SdC 3 : pleine dose (itinéraire classique du viticulteur)</w:t>
      </w:r>
    </w:p>
    <w:p w:rsidR="007709D5" w:rsidRDefault="007709D5" w:rsidP="007709D5">
      <w:pPr>
        <w:pStyle w:val="Paragraphedeliste"/>
        <w:numPr>
          <w:ilvl w:val="0"/>
          <w:numId w:val="43"/>
        </w:numPr>
        <w:tabs>
          <w:tab w:val="left" w:pos="284"/>
        </w:tabs>
        <w:rPr>
          <w:szCs w:val="20"/>
        </w:rPr>
      </w:pPr>
      <w:r w:rsidRPr="007709D5">
        <w:rPr>
          <w:szCs w:val="20"/>
        </w:rPr>
        <w:t>SdC 4 : pleine dose et travaux en vert (épamprage manuel, ébourgeonnage et effeuillage)</w:t>
      </w:r>
    </w:p>
    <w:p w:rsidR="007709D5" w:rsidRPr="007709D5" w:rsidRDefault="007709D5" w:rsidP="007709D5">
      <w:pPr>
        <w:jc w:val="both"/>
      </w:pPr>
      <w:r>
        <w:t>Pour la modalité « témoin non traité », l’absence de traitement s’entend pour les fongicides, la parcelle étant située dans une zone de lutte obligatoire contre la cicadel</w:t>
      </w:r>
      <w:r w:rsidR="00314AF7">
        <w:t>le de la f</w:t>
      </w:r>
      <w:r>
        <w:t xml:space="preserve">lavescence dorée. </w:t>
      </w:r>
    </w:p>
    <w:p w:rsidR="005215B2" w:rsidRPr="008C33CC" w:rsidRDefault="005215B2" w:rsidP="00AE2CF7">
      <w:pPr>
        <w:shd w:val="clear" w:color="auto" w:fill="FFFFFF"/>
        <w:tabs>
          <w:tab w:val="num" w:pos="417"/>
        </w:tabs>
        <w:suppressAutoHyphens w:val="0"/>
        <w:spacing w:after="0" w:line="276" w:lineRule="auto"/>
        <w:jc w:val="both"/>
        <w:rPr>
          <w:rFonts w:cs="Times New Roman"/>
          <w:szCs w:val="22"/>
          <w:lang w:eastAsia="fr-FR"/>
        </w:rPr>
      </w:pPr>
      <w:r w:rsidRPr="00AB32CC">
        <w:rPr>
          <w:rFonts w:cs="Times New Roman"/>
          <w:color w:val="F79646" w:themeColor="accent6"/>
          <w:szCs w:val="22"/>
          <w:lang w:eastAsia="fr-FR"/>
        </w:rPr>
        <w:t>En verger de</w:t>
      </w:r>
      <w:r w:rsidR="000568A6" w:rsidRPr="00AB32CC">
        <w:rPr>
          <w:rFonts w:cs="Times New Roman"/>
          <w:color w:val="F79646" w:themeColor="accent6"/>
          <w:szCs w:val="22"/>
          <w:lang w:eastAsia="fr-FR"/>
        </w:rPr>
        <w:t xml:space="preserve"> clémentine</w:t>
      </w:r>
      <w:r w:rsidRPr="00AB32CC">
        <w:rPr>
          <w:rFonts w:cs="Times New Roman"/>
          <w:color w:val="F79646" w:themeColor="accent6"/>
          <w:szCs w:val="22"/>
          <w:lang w:eastAsia="fr-FR"/>
        </w:rPr>
        <w:t>s </w:t>
      </w:r>
      <w:r w:rsidRPr="008C33CC">
        <w:rPr>
          <w:rFonts w:cs="Times New Roman"/>
          <w:szCs w:val="22"/>
          <w:lang w:eastAsia="fr-FR"/>
        </w:rPr>
        <w:t>:</w:t>
      </w:r>
    </w:p>
    <w:p w:rsidR="000568A6" w:rsidRPr="008C33CC" w:rsidRDefault="005215B2" w:rsidP="00AE2CF7">
      <w:pPr>
        <w:shd w:val="clear" w:color="auto" w:fill="FFFFFF"/>
        <w:tabs>
          <w:tab w:val="num" w:pos="417"/>
        </w:tabs>
        <w:suppressAutoHyphens w:val="0"/>
        <w:spacing w:after="0" w:line="276" w:lineRule="auto"/>
        <w:jc w:val="both"/>
        <w:rPr>
          <w:rFonts w:cs="Times New Roman"/>
          <w:szCs w:val="22"/>
          <w:lang w:eastAsia="fr-FR"/>
        </w:rPr>
      </w:pPr>
      <w:r w:rsidRPr="008C33CC">
        <w:rPr>
          <w:rFonts w:cs="Times New Roman"/>
          <w:szCs w:val="22"/>
          <w:lang w:eastAsia="fr-FR"/>
        </w:rPr>
        <w:t>Q</w:t>
      </w:r>
      <w:r w:rsidR="001C7828" w:rsidRPr="008C33CC">
        <w:rPr>
          <w:rFonts w:cs="Times New Roman"/>
          <w:szCs w:val="22"/>
          <w:lang w:eastAsia="fr-FR"/>
        </w:rPr>
        <w:t>uatre</w:t>
      </w:r>
      <w:r w:rsidR="000568A6" w:rsidRPr="008C33CC">
        <w:rPr>
          <w:rFonts w:cs="Times New Roman"/>
          <w:szCs w:val="22"/>
          <w:lang w:eastAsia="fr-FR"/>
        </w:rPr>
        <w:t xml:space="preserve"> hectares sont mis à dispositio</w:t>
      </w:r>
      <w:r w:rsidR="005E7F7D" w:rsidRPr="008C33CC">
        <w:rPr>
          <w:rFonts w:cs="Times New Roman"/>
          <w:szCs w:val="22"/>
          <w:lang w:eastAsia="fr-FR"/>
        </w:rPr>
        <w:t>n du projet avec trois variétés</w:t>
      </w:r>
      <w:r w:rsidR="007A222C">
        <w:rPr>
          <w:rFonts w:cs="Times New Roman"/>
          <w:szCs w:val="22"/>
          <w:lang w:eastAsia="fr-FR"/>
        </w:rPr>
        <w:t xml:space="preserve"> dont deux variétés communes et une variété précoce</w:t>
      </w:r>
      <w:r w:rsidR="000568A6" w:rsidRPr="008C33CC">
        <w:rPr>
          <w:rFonts w:cs="Times New Roman"/>
          <w:szCs w:val="22"/>
          <w:lang w:eastAsia="fr-FR"/>
        </w:rPr>
        <w:t xml:space="preserve"> </w:t>
      </w:r>
      <w:r w:rsidR="005E7F7D" w:rsidRPr="008C33CC">
        <w:rPr>
          <w:rFonts w:cs="Times New Roman"/>
          <w:szCs w:val="22"/>
          <w:lang w:eastAsia="fr-FR"/>
        </w:rPr>
        <w:t>(</w:t>
      </w:r>
      <w:r w:rsidR="00773074" w:rsidRPr="008C33CC">
        <w:rPr>
          <w:rFonts w:cs="Times New Roman"/>
          <w:szCs w:val="22"/>
          <w:lang w:eastAsia="fr-FR"/>
        </w:rPr>
        <w:t>SRA 85, SRA 92 et SRA 385</w:t>
      </w:r>
      <w:r w:rsidR="00DD6B47" w:rsidRPr="008C33CC">
        <w:rPr>
          <w:rFonts w:cs="Times New Roman"/>
          <w:szCs w:val="22"/>
          <w:lang w:eastAsia="fr-FR"/>
        </w:rPr>
        <w:t>, pour éviter toute confusion, la SRA 385 est appelée</w:t>
      </w:r>
      <w:r w:rsidRPr="008C33CC">
        <w:rPr>
          <w:rFonts w:cs="Times New Roman"/>
          <w:szCs w:val="22"/>
          <w:lang w:eastAsia="fr-FR"/>
        </w:rPr>
        <w:t xml:space="preserve"> par son nom commercial</w:t>
      </w:r>
      <w:r w:rsidR="00DD6B47" w:rsidRPr="008C33CC">
        <w:rPr>
          <w:rFonts w:cs="Times New Roman"/>
          <w:szCs w:val="22"/>
          <w:lang w:eastAsia="fr-FR"/>
        </w:rPr>
        <w:t xml:space="preserve"> </w:t>
      </w:r>
      <w:r w:rsidR="0056291B" w:rsidRPr="008C33CC">
        <w:rPr>
          <w:rFonts w:cs="Times New Roman"/>
          <w:szCs w:val="22"/>
          <w:lang w:eastAsia="fr-FR"/>
        </w:rPr>
        <w:t>« </w:t>
      </w:r>
      <w:r w:rsidR="00DD6B47" w:rsidRPr="008C33CC">
        <w:rPr>
          <w:rFonts w:cs="Times New Roman"/>
          <w:szCs w:val="22"/>
          <w:lang w:eastAsia="fr-FR"/>
        </w:rPr>
        <w:t>Caffin</w:t>
      </w:r>
      <w:r w:rsidR="0056291B" w:rsidRPr="008C33CC">
        <w:rPr>
          <w:rFonts w:cs="Times New Roman"/>
          <w:szCs w:val="22"/>
          <w:lang w:eastAsia="fr-FR"/>
        </w:rPr>
        <w:t> »</w:t>
      </w:r>
      <w:r w:rsidR="00DD6B47" w:rsidRPr="008C33CC">
        <w:rPr>
          <w:rFonts w:cs="Times New Roman"/>
          <w:szCs w:val="22"/>
          <w:lang w:eastAsia="fr-FR"/>
        </w:rPr>
        <w:t xml:space="preserve"> dans le reste du rapport</w:t>
      </w:r>
      <w:r w:rsidR="005E7F7D" w:rsidRPr="008C33CC">
        <w:rPr>
          <w:rFonts w:cs="Times New Roman"/>
          <w:szCs w:val="22"/>
          <w:lang w:eastAsia="fr-FR"/>
        </w:rPr>
        <w:t>)</w:t>
      </w:r>
      <w:r w:rsidR="000568A6" w:rsidRPr="008C33CC">
        <w:rPr>
          <w:rFonts w:cs="Times New Roman"/>
          <w:szCs w:val="22"/>
          <w:lang w:eastAsia="fr-FR"/>
        </w:rPr>
        <w:t> :</w:t>
      </w:r>
    </w:p>
    <w:p w:rsidR="000568A6" w:rsidRPr="008C33CC" w:rsidRDefault="000D155B" w:rsidP="00AE2CF7">
      <w:pPr>
        <w:numPr>
          <w:ilvl w:val="0"/>
          <w:numId w:val="13"/>
        </w:num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SdC 1 : p</w:t>
      </w:r>
      <w:r w:rsidR="000568A6" w:rsidRPr="008C33CC">
        <w:rPr>
          <w:rFonts w:cs="Times New Roman"/>
          <w:szCs w:val="22"/>
          <w:lang w:eastAsia="fr-FR"/>
        </w:rPr>
        <w:t xml:space="preserve">roduction </w:t>
      </w:r>
      <w:r w:rsidR="00F651D1" w:rsidRPr="008C33CC">
        <w:rPr>
          <w:rFonts w:cs="Times New Roman"/>
          <w:szCs w:val="22"/>
          <w:lang w:eastAsia="fr-FR"/>
        </w:rPr>
        <w:t xml:space="preserve">chimique </w:t>
      </w:r>
      <w:r w:rsidR="000568A6" w:rsidRPr="008C33CC">
        <w:rPr>
          <w:rFonts w:cs="Times New Roman"/>
          <w:szCs w:val="22"/>
          <w:lang w:eastAsia="fr-FR"/>
        </w:rPr>
        <w:t xml:space="preserve">raisonnée sur </w:t>
      </w:r>
      <w:r w:rsidR="001C7828" w:rsidRPr="008C33CC">
        <w:rPr>
          <w:rFonts w:cs="Times New Roman"/>
          <w:szCs w:val="22"/>
          <w:lang w:eastAsia="fr-FR"/>
        </w:rPr>
        <w:t>1,62</w:t>
      </w:r>
      <w:r w:rsidR="000568A6" w:rsidRPr="008C33CC">
        <w:rPr>
          <w:rFonts w:cs="Times New Roman"/>
          <w:szCs w:val="22"/>
          <w:lang w:eastAsia="fr-FR"/>
        </w:rPr>
        <w:t xml:space="preserve"> ha, </w:t>
      </w:r>
      <w:r w:rsidR="007A222C">
        <w:rPr>
          <w:rFonts w:cs="Times New Roman"/>
          <w:szCs w:val="22"/>
          <w:lang w:eastAsia="fr-FR"/>
        </w:rPr>
        <w:t>qui correspond à notre référence chimique</w:t>
      </w:r>
      <w:r w:rsidR="000568A6" w:rsidRPr="008C33CC">
        <w:rPr>
          <w:rFonts w:cs="Times New Roman"/>
          <w:szCs w:val="22"/>
          <w:lang w:eastAsia="fr-FR"/>
        </w:rPr>
        <w:t>,</w:t>
      </w:r>
    </w:p>
    <w:p w:rsidR="000568A6" w:rsidRPr="008C33CC" w:rsidRDefault="000D155B" w:rsidP="00AE2CF7">
      <w:pPr>
        <w:numPr>
          <w:ilvl w:val="0"/>
          <w:numId w:val="13"/>
        </w:numPr>
        <w:suppressAutoHyphens w:val="0"/>
        <w:spacing w:after="0" w:line="276" w:lineRule="auto"/>
        <w:jc w:val="both"/>
        <w:rPr>
          <w:rFonts w:cs="Times New Roman"/>
          <w:szCs w:val="22"/>
          <w:lang w:eastAsia="fr-FR"/>
        </w:rPr>
      </w:pPr>
      <w:r w:rsidRPr="008C33CC">
        <w:rPr>
          <w:rFonts w:cs="Times New Roman"/>
          <w:szCs w:val="22"/>
          <w:lang w:eastAsia="fr-FR"/>
        </w:rPr>
        <w:t>SdC 2: s</w:t>
      </w:r>
      <w:r w:rsidR="000568A6" w:rsidRPr="008C33CC">
        <w:rPr>
          <w:rFonts w:cs="Times New Roman"/>
          <w:szCs w:val="22"/>
          <w:lang w:eastAsia="fr-FR"/>
        </w:rPr>
        <w:t xml:space="preserve">ystème alternatif sur </w:t>
      </w:r>
      <w:r w:rsidR="001C7828" w:rsidRPr="008C33CC">
        <w:rPr>
          <w:rFonts w:cs="Times New Roman"/>
          <w:szCs w:val="22"/>
          <w:lang w:eastAsia="fr-FR"/>
        </w:rPr>
        <w:t xml:space="preserve">1,34 </w:t>
      </w:r>
      <w:r w:rsidR="000568A6" w:rsidRPr="008C33CC">
        <w:rPr>
          <w:rFonts w:cs="Times New Roman"/>
          <w:szCs w:val="22"/>
          <w:lang w:eastAsia="fr-FR"/>
        </w:rPr>
        <w:t xml:space="preserve">ha, </w:t>
      </w:r>
      <w:r w:rsidR="00557208">
        <w:rPr>
          <w:rFonts w:cs="Times New Roman"/>
          <w:szCs w:val="22"/>
          <w:lang w:eastAsia="fr-FR"/>
        </w:rPr>
        <w:t>qui correspond à notre SdC Dephy. C’est sur ce SdC que s’applique la diminution d’intrants,</w:t>
      </w:r>
    </w:p>
    <w:p w:rsidR="000568A6" w:rsidRPr="008C33CC" w:rsidRDefault="000D155B" w:rsidP="00AE2CF7">
      <w:pPr>
        <w:numPr>
          <w:ilvl w:val="0"/>
          <w:numId w:val="13"/>
        </w:numPr>
        <w:suppressAutoHyphens w:val="0"/>
        <w:spacing w:after="0" w:line="276" w:lineRule="auto"/>
        <w:jc w:val="both"/>
        <w:rPr>
          <w:rFonts w:cs="Times New Roman"/>
          <w:szCs w:val="22"/>
          <w:lang w:eastAsia="fr-FR"/>
        </w:rPr>
      </w:pPr>
      <w:r w:rsidRPr="008C33CC">
        <w:rPr>
          <w:rFonts w:cs="Times New Roman"/>
          <w:szCs w:val="22"/>
          <w:lang w:eastAsia="fr-FR"/>
        </w:rPr>
        <w:t>SdC 3 : système sans intrant chimique de synthèse</w:t>
      </w:r>
      <w:r w:rsidR="000568A6" w:rsidRPr="008C33CC">
        <w:rPr>
          <w:rFonts w:cs="Times New Roman"/>
          <w:szCs w:val="22"/>
          <w:lang w:eastAsia="fr-FR"/>
        </w:rPr>
        <w:t xml:space="preserve"> </w:t>
      </w:r>
      <w:r w:rsidR="00EE5643" w:rsidRPr="008C33CC">
        <w:rPr>
          <w:rFonts w:cs="Times New Roman"/>
          <w:szCs w:val="22"/>
          <w:lang w:eastAsia="fr-FR"/>
        </w:rPr>
        <w:t xml:space="preserve">sur </w:t>
      </w:r>
      <w:r w:rsidR="001C7828" w:rsidRPr="008C33CC">
        <w:rPr>
          <w:rFonts w:cs="Times New Roman"/>
          <w:szCs w:val="22"/>
          <w:lang w:eastAsia="fr-FR"/>
        </w:rPr>
        <w:t xml:space="preserve">1,34 </w:t>
      </w:r>
      <w:r w:rsidR="00EE5643" w:rsidRPr="008C33CC">
        <w:rPr>
          <w:rFonts w:cs="Times New Roman"/>
          <w:szCs w:val="22"/>
          <w:lang w:eastAsia="fr-FR"/>
        </w:rPr>
        <w:t>ha,</w:t>
      </w:r>
      <w:r w:rsidR="00557208">
        <w:rPr>
          <w:rFonts w:cs="Times New Roman"/>
          <w:szCs w:val="22"/>
          <w:lang w:eastAsia="fr-FR"/>
        </w:rPr>
        <w:t xml:space="preserve"> qui correspond à notre SdC agriculture biologique</w:t>
      </w:r>
      <w:r w:rsidR="004A5E0B">
        <w:rPr>
          <w:rFonts w:cs="Times New Roman"/>
          <w:szCs w:val="22"/>
          <w:lang w:eastAsia="fr-FR"/>
        </w:rPr>
        <w:t xml:space="preserve"> (mais qui ne peut être inscrit en Agriculture biologique car la gestion des fertilisants n’est pas biologique).</w:t>
      </w:r>
    </w:p>
    <w:p w:rsidR="000568A6" w:rsidRPr="008C33CC" w:rsidRDefault="000568A6" w:rsidP="00AE2CF7">
      <w:pPr>
        <w:suppressAutoHyphens w:val="0"/>
        <w:spacing w:after="0" w:line="276" w:lineRule="auto"/>
        <w:jc w:val="both"/>
        <w:rPr>
          <w:rFonts w:cs="Times New Roman"/>
          <w:szCs w:val="22"/>
          <w:lang w:eastAsia="fr-FR"/>
        </w:rPr>
      </w:pPr>
    </w:p>
    <w:p w:rsidR="003231A6" w:rsidRPr="008C33CC" w:rsidRDefault="003231A6" w:rsidP="00AE2CF7">
      <w:pPr>
        <w:suppressAutoHyphens w:val="0"/>
        <w:spacing w:after="0" w:line="276" w:lineRule="auto"/>
        <w:jc w:val="both"/>
        <w:rPr>
          <w:rFonts w:cs="Times New Roman"/>
          <w:szCs w:val="22"/>
          <w:lang w:eastAsia="fr-FR"/>
        </w:rPr>
      </w:pPr>
      <w:r w:rsidRPr="00AB32CC">
        <w:rPr>
          <w:rFonts w:cs="Times New Roman"/>
          <w:color w:val="00B050"/>
          <w:szCs w:val="22"/>
          <w:lang w:eastAsia="fr-FR"/>
        </w:rPr>
        <w:t>En verger de</w:t>
      </w:r>
      <w:r w:rsidR="000568A6" w:rsidRPr="00AB32CC">
        <w:rPr>
          <w:rFonts w:cs="Times New Roman"/>
          <w:color w:val="00B050"/>
          <w:szCs w:val="22"/>
          <w:lang w:eastAsia="fr-FR"/>
        </w:rPr>
        <w:t xml:space="preserve"> kiwis</w:t>
      </w:r>
      <w:r w:rsidRPr="00AB32CC">
        <w:rPr>
          <w:rFonts w:cs="Times New Roman"/>
          <w:color w:val="00B050"/>
          <w:szCs w:val="22"/>
          <w:lang w:eastAsia="fr-FR"/>
        </w:rPr>
        <w:t> </w:t>
      </w:r>
      <w:r w:rsidRPr="008C33CC">
        <w:rPr>
          <w:rFonts w:cs="Times New Roman"/>
          <w:szCs w:val="22"/>
          <w:lang w:eastAsia="fr-FR"/>
        </w:rPr>
        <w:t>:</w:t>
      </w:r>
    </w:p>
    <w:p w:rsidR="008C33CC" w:rsidRPr="008C33CC" w:rsidRDefault="003231A6" w:rsidP="00AE2CF7">
      <w:pPr>
        <w:suppressAutoHyphens w:val="0"/>
        <w:spacing w:after="0" w:line="276" w:lineRule="auto"/>
        <w:jc w:val="both"/>
        <w:rPr>
          <w:rFonts w:cs="Times New Roman"/>
          <w:szCs w:val="22"/>
          <w:lang w:eastAsia="fr-FR"/>
        </w:rPr>
      </w:pPr>
      <w:r w:rsidRPr="008C33CC">
        <w:rPr>
          <w:rFonts w:cs="Times New Roman"/>
          <w:szCs w:val="22"/>
          <w:lang w:eastAsia="fr-FR"/>
        </w:rPr>
        <w:t>L</w:t>
      </w:r>
      <w:r w:rsidR="000568A6" w:rsidRPr="008C33CC">
        <w:rPr>
          <w:rFonts w:cs="Times New Roman"/>
          <w:szCs w:val="22"/>
          <w:lang w:eastAsia="fr-FR"/>
        </w:rPr>
        <w:t xml:space="preserve">es mêmes systèmes de culture </w:t>
      </w:r>
      <w:r w:rsidR="00F651D1" w:rsidRPr="008C33CC">
        <w:rPr>
          <w:rFonts w:cs="Times New Roman"/>
          <w:szCs w:val="22"/>
          <w:lang w:eastAsia="fr-FR"/>
        </w:rPr>
        <w:t xml:space="preserve">(SdC 1, 2 et 3) que les </w:t>
      </w:r>
      <w:r w:rsidRPr="008C33CC">
        <w:rPr>
          <w:rFonts w:cs="Times New Roman"/>
          <w:szCs w:val="22"/>
          <w:lang w:eastAsia="fr-FR"/>
        </w:rPr>
        <w:t xml:space="preserve">parcelles de clémentiniers </w:t>
      </w:r>
      <w:r w:rsidR="000568A6" w:rsidRPr="008C33CC">
        <w:rPr>
          <w:rFonts w:cs="Times New Roman"/>
          <w:szCs w:val="22"/>
          <w:lang w:eastAsia="fr-FR"/>
        </w:rPr>
        <w:t xml:space="preserve">sont testés sur deux parcelles d’un hectare chacune (une plantée </w:t>
      </w:r>
      <w:r w:rsidRPr="008C33CC">
        <w:rPr>
          <w:rFonts w:cs="Times New Roman"/>
          <w:szCs w:val="22"/>
          <w:lang w:eastAsia="fr-FR"/>
        </w:rPr>
        <w:t>en 2004 et une plantée 2011-12) et</w:t>
      </w:r>
      <w:r w:rsidR="000568A6" w:rsidRPr="008C33CC">
        <w:rPr>
          <w:rFonts w:cs="Times New Roman"/>
          <w:szCs w:val="22"/>
          <w:lang w:eastAsia="fr-FR"/>
        </w:rPr>
        <w:t xml:space="preserve"> de même variété</w:t>
      </w:r>
      <w:r w:rsidRPr="008C33CC">
        <w:rPr>
          <w:rFonts w:cs="Times New Roman"/>
          <w:szCs w:val="22"/>
          <w:lang w:eastAsia="fr-FR"/>
        </w:rPr>
        <w:t xml:space="preserve"> (Hayward)</w:t>
      </w:r>
      <w:r w:rsidR="000568A6" w:rsidRPr="008C33CC">
        <w:rPr>
          <w:rFonts w:cs="Times New Roman"/>
          <w:szCs w:val="22"/>
          <w:lang w:eastAsia="fr-FR"/>
        </w:rPr>
        <w:t>.</w:t>
      </w:r>
    </w:p>
    <w:p w:rsidR="007B47DF" w:rsidRDefault="00932B3E" w:rsidP="00AE2CF7">
      <w:pPr>
        <w:pStyle w:val="Titre3"/>
        <w:numPr>
          <w:ilvl w:val="0"/>
          <w:numId w:val="32"/>
        </w:numPr>
        <w:spacing w:line="276" w:lineRule="auto"/>
        <w:rPr>
          <w:rFonts w:ascii="Times New Roman" w:hAnsi="Times New Roman"/>
          <w:sz w:val="24"/>
          <w:szCs w:val="24"/>
        </w:rPr>
      </w:pPr>
      <w:bookmarkStart w:id="11" w:name="_Toc380998561"/>
      <w:bookmarkStart w:id="12" w:name="_Toc446344567"/>
      <w:r w:rsidRPr="005F070D">
        <w:rPr>
          <w:rFonts w:ascii="Times New Roman" w:hAnsi="Times New Roman"/>
          <w:sz w:val="24"/>
          <w:szCs w:val="24"/>
        </w:rPr>
        <w:t>Les indicateurs utilisés</w:t>
      </w:r>
      <w:bookmarkEnd w:id="11"/>
      <w:bookmarkEnd w:id="12"/>
    </w:p>
    <w:p w:rsidR="00827897" w:rsidRDefault="0080062C" w:rsidP="00827897">
      <w:pPr>
        <w:suppressAutoHyphens w:val="0"/>
        <w:spacing w:after="200" w:line="276" w:lineRule="auto"/>
        <w:rPr>
          <w:rFonts w:eastAsia="Calibri" w:cs="Times New Roman"/>
          <w:color w:val="00B050"/>
          <w:sz w:val="24"/>
          <w:lang w:eastAsia="en-US"/>
        </w:rPr>
      </w:pPr>
      <w:r>
        <w:rPr>
          <w:rFonts w:eastAsia="Calibri" w:cs="Times New Roman"/>
          <w:color w:val="F79646"/>
          <w:sz w:val="24"/>
          <w:lang w:eastAsia="en-US"/>
        </w:rPr>
        <w:t>L</w:t>
      </w:r>
      <w:r w:rsidR="003C33F0" w:rsidRPr="005F070D">
        <w:rPr>
          <w:rFonts w:eastAsia="Calibri" w:cs="Times New Roman"/>
          <w:color w:val="F79646"/>
          <w:sz w:val="24"/>
          <w:lang w:eastAsia="en-US"/>
        </w:rPr>
        <w:t xml:space="preserve">es </w:t>
      </w:r>
      <w:r w:rsidR="00DD6B47" w:rsidRPr="005F070D">
        <w:rPr>
          <w:rFonts w:eastAsia="Calibri" w:cs="Times New Roman"/>
          <w:color w:val="F79646"/>
          <w:sz w:val="24"/>
          <w:lang w:eastAsia="en-US"/>
        </w:rPr>
        <w:t>c</w:t>
      </w:r>
      <w:r w:rsidR="00873BB7" w:rsidRPr="005F070D">
        <w:rPr>
          <w:rFonts w:eastAsia="Calibri" w:cs="Times New Roman"/>
          <w:color w:val="F79646"/>
          <w:sz w:val="24"/>
          <w:lang w:eastAsia="en-US"/>
        </w:rPr>
        <w:t xml:space="preserve">lémentines </w:t>
      </w:r>
      <w:r w:rsidR="00873BB7" w:rsidRPr="0080062C">
        <w:rPr>
          <w:rFonts w:eastAsia="Calibri" w:cs="Times New Roman"/>
          <w:color w:val="00B050"/>
          <w:sz w:val="24"/>
          <w:lang w:eastAsia="en-US"/>
        </w:rPr>
        <w:t xml:space="preserve">et </w:t>
      </w:r>
      <w:r w:rsidR="003C33F0" w:rsidRPr="0080062C">
        <w:rPr>
          <w:rFonts w:eastAsia="Calibri" w:cs="Times New Roman"/>
          <w:color w:val="00B050"/>
          <w:sz w:val="24"/>
          <w:lang w:eastAsia="en-US"/>
        </w:rPr>
        <w:t xml:space="preserve">les </w:t>
      </w:r>
      <w:r w:rsidR="00873BB7" w:rsidRPr="0080062C">
        <w:rPr>
          <w:rFonts w:eastAsia="Calibri" w:cs="Times New Roman"/>
          <w:color w:val="00B050"/>
          <w:sz w:val="24"/>
          <w:lang w:eastAsia="en-US"/>
        </w:rPr>
        <w:t>kiwis</w:t>
      </w:r>
    </w:p>
    <w:p w:rsidR="0064188D" w:rsidRDefault="00AC03C8" w:rsidP="0064188D">
      <w:pPr>
        <w:suppressAutoHyphens w:val="0"/>
        <w:spacing w:after="200" w:line="276" w:lineRule="auto"/>
        <w:jc w:val="both"/>
        <w:rPr>
          <w:rFonts w:eastAsia="Calibri" w:cs="Times New Roman"/>
          <w:color w:val="00B050"/>
          <w:sz w:val="24"/>
          <w:lang w:eastAsia="en-US"/>
        </w:rPr>
      </w:pPr>
      <w:r>
        <w:rPr>
          <w:rFonts w:cs="Times New Roman"/>
          <w:szCs w:val="22"/>
          <w:lang w:eastAsia="fr-FR"/>
        </w:rPr>
        <w:t>En 2015, l</w:t>
      </w:r>
      <w:r w:rsidR="005564C9" w:rsidRPr="008C33CC">
        <w:rPr>
          <w:rFonts w:cs="Times New Roman"/>
          <w:szCs w:val="22"/>
          <w:lang w:eastAsia="fr-FR"/>
        </w:rPr>
        <w:t>es mêmes indicateurs agronomiques ont été utilisés</w:t>
      </w:r>
      <w:r>
        <w:rPr>
          <w:rFonts w:cs="Times New Roman"/>
          <w:szCs w:val="22"/>
          <w:lang w:eastAsia="fr-FR"/>
        </w:rPr>
        <w:t xml:space="preserve"> que les années précédentes</w:t>
      </w:r>
      <w:r w:rsidR="004A5E0B">
        <w:rPr>
          <w:rFonts w:cs="Times New Roman"/>
          <w:szCs w:val="22"/>
          <w:lang w:eastAsia="fr-FR"/>
        </w:rPr>
        <w:t xml:space="preserve"> </w:t>
      </w:r>
      <w:r w:rsidR="005564C9" w:rsidRPr="008C33CC">
        <w:rPr>
          <w:rFonts w:cs="Times New Roman"/>
          <w:szCs w:val="22"/>
          <w:lang w:eastAsia="fr-FR"/>
        </w:rPr>
        <w:t>: la teneur en sucre, le niveau d’acidité, la proportion d</w:t>
      </w:r>
      <w:r>
        <w:rPr>
          <w:rFonts w:cs="Times New Roman"/>
          <w:szCs w:val="22"/>
          <w:lang w:eastAsia="fr-FR"/>
        </w:rPr>
        <w:t>e jus (même protocole qu’en 2014</w:t>
      </w:r>
      <w:r w:rsidR="005564C9" w:rsidRPr="008C33CC">
        <w:rPr>
          <w:rFonts w:cs="Times New Roman"/>
          <w:szCs w:val="22"/>
          <w:lang w:eastAsia="fr-FR"/>
        </w:rPr>
        <w:t xml:space="preserve">). </w:t>
      </w:r>
    </w:p>
    <w:p w:rsidR="00D71EF4" w:rsidRPr="0064188D" w:rsidRDefault="005564C9" w:rsidP="0064188D">
      <w:pPr>
        <w:suppressAutoHyphens w:val="0"/>
        <w:spacing w:after="200" w:line="276" w:lineRule="auto"/>
        <w:jc w:val="both"/>
        <w:rPr>
          <w:rFonts w:eastAsia="Calibri" w:cs="Times New Roman"/>
          <w:color w:val="00B050"/>
          <w:sz w:val="24"/>
          <w:lang w:eastAsia="en-US"/>
        </w:rPr>
      </w:pPr>
      <w:r w:rsidRPr="008C33CC">
        <w:rPr>
          <w:rFonts w:cs="Times New Roman"/>
          <w:szCs w:val="22"/>
          <w:lang w:eastAsia="fr-FR"/>
        </w:rPr>
        <w:t>L</w:t>
      </w:r>
      <w:r w:rsidR="007B47DF" w:rsidRPr="008C33CC">
        <w:rPr>
          <w:rFonts w:cs="Times New Roman"/>
          <w:szCs w:val="22"/>
          <w:lang w:eastAsia="fr-FR"/>
        </w:rPr>
        <w:t xml:space="preserve">es indicateurs économiques </w:t>
      </w:r>
      <w:r w:rsidR="00773074" w:rsidRPr="008C33CC">
        <w:rPr>
          <w:rFonts w:cs="Times New Roman"/>
          <w:szCs w:val="22"/>
          <w:lang w:eastAsia="fr-FR"/>
        </w:rPr>
        <w:t xml:space="preserve">ont été </w:t>
      </w:r>
      <w:r w:rsidR="008D28BC" w:rsidRPr="008C33CC">
        <w:rPr>
          <w:rFonts w:cs="Times New Roman"/>
          <w:szCs w:val="22"/>
          <w:lang w:eastAsia="fr-FR"/>
        </w:rPr>
        <w:t>conservés</w:t>
      </w:r>
      <w:r w:rsidR="007B47DF" w:rsidRPr="008C33CC">
        <w:rPr>
          <w:rFonts w:cs="Times New Roman"/>
          <w:szCs w:val="22"/>
          <w:lang w:eastAsia="fr-FR"/>
        </w:rPr>
        <w:t xml:space="preserve"> : le rendement à la récolte </w:t>
      </w:r>
      <w:r w:rsidR="00CE5C78">
        <w:rPr>
          <w:rFonts w:cs="Times New Roman"/>
          <w:szCs w:val="22"/>
          <w:lang w:eastAsia="fr-FR"/>
        </w:rPr>
        <w:t>en tonne par hectare</w:t>
      </w:r>
      <w:r w:rsidR="00773074" w:rsidRPr="008C33CC">
        <w:rPr>
          <w:rFonts w:cs="Times New Roman"/>
          <w:szCs w:val="22"/>
          <w:lang w:eastAsia="fr-FR"/>
        </w:rPr>
        <w:t xml:space="preserve"> et</w:t>
      </w:r>
      <w:r w:rsidR="007B47DF" w:rsidRPr="008C33CC">
        <w:rPr>
          <w:rFonts w:cs="Times New Roman"/>
          <w:szCs w:val="22"/>
          <w:lang w:eastAsia="fr-FR"/>
        </w:rPr>
        <w:t xml:space="preserve"> les écarts de production.</w:t>
      </w:r>
      <w:r w:rsidR="00873BB7" w:rsidRPr="008C33CC">
        <w:rPr>
          <w:rFonts w:cs="Times New Roman"/>
          <w:szCs w:val="22"/>
          <w:lang w:eastAsia="fr-FR"/>
        </w:rPr>
        <w:t xml:space="preserve"> Ces données sont récoltées lors du calibrage fait à la CANC</w:t>
      </w:r>
      <w:r w:rsidR="00773074" w:rsidRPr="008C33CC">
        <w:rPr>
          <w:rFonts w:cs="Times New Roman"/>
          <w:szCs w:val="22"/>
          <w:lang w:eastAsia="fr-FR"/>
        </w:rPr>
        <w:t xml:space="preserve"> (Coopérative Agricole du Nord de la Corse)</w:t>
      </w:r>
      <w:r w:rsidR="00873BB7" w:rsidRPr="008C33CC">
        <w:rPr>
          <w:rFonts w:cs="Times New Roman"/>
          <w:szCs w:val="22"/>
          <w:lang w:eastAsia="fr-FR"/>
        </w:rPr>
        <w:t xml:space="preserve"> pour les clémentines, à Borgo</w:t>
      </w:r>
      <w:r w:rsidR="00EE5643" w:rsidRPr="008C33CC">
        <w:rPr>
          <w:rFonts w:cs="Times New Roman"/>
          <w:szCs w:val="22"/>
          <w:lang w:eastAsia="fr-FR"/>
        </w:rPr>
        <w:t xml:space="preserve"> (2B)</w:t>
      </w:r>
      <w:r w:rsidR="00873BB7" w:rsidRPr="008C33CC">
        <w:rPr>
          <w:rFonts w:cs="Times New Roman"/>
          <w:szCs w:val="22"/>
          <w:lang w:eastAsia="fr-FR"/>
        </w:rPr>
        <w:t xml:space="preserve">, et à FRUTICOR pour les kiwis, à </w:t>
      </w:r>
      <w:r w:rsidR="00873BB7" w:rsidRPr="008C33CC">
        <w:rPr>
          <w:rFonts w:cs="Times New Roman"/>
          <w:szCs w:val="22"/>
          <w:lang w:eastAsia="fr-FR"/>
        </w:rPr>
        <w:lastRenderedPageBreak/>
        <w:t>Moriani</w:t>
      </w:r>
      <w:r w:rsidR="00EE5643" w:rsidRPr="008C33CC">
        <w:rPr>
          <w:rFonts w:cs="Times New Roman"/>
          <w:szCs w:val="22"/>
          <w:lang w:eastAsia="fr-FR"/>
        </w:rPr>
        <w:t xml:space="preserve"> (2B)</w:t>
      </w:r>
      <w:r w:rsidR="00873BB7" w:rsidRPr="008C33CC">
        <w:rPr>
          <w:rFonts w:cs="Times New Roman"/>
          <w:szCs w:val="22"/>
          <w:lang w:eastAsia="fr-FR"/>
        </w:rPr>
        <w:t>.</w:t>
      </w:r>
      <w:r w:rsidR="00D71EF4" w:rsidRPr="008C33CC">
        <w:rPr>
          <w:rFonts w:cs="Times New Roman"/>
          <w:szCs w:val="22"/>
          <w:lang w:eastAsia="fr-FR"/>
        </w:rPr>
        <w:t xml:space="preserve"> </w:t>
      </w:r>
      <w:r w:rsidR="007B47DF" w:rsidRPr="008C33CC">
        <w:rPr>
          <w:rFonts w:cs="Times New Roman"/>
          <w:szCs w:val="22"/>
          <w:lang w:eastAsia="fr-FR"/>
        </w:rPr>
        <w:t>Parallèlement, nous avons mesuré le temps passé pour la gestion des bio-agresseurs</w:t>
      </w:r>
      <w:r w:rsidR="00F33294" w:rsidRPr="008C33CC">
        <w:rPr>
          <w:rFonts w:cs="Times New Roman"/>
          <w:szCs w:val="22"/>
          <w:lang w:eastAsia="fr-FR"/>
        </w:rPr>
        <w:t xml:space="preserve"> et des adventices</w:t>
      </w:r>
      <w:r w:rsidR="007B47DF" w:rsidRPr="008C33CC">
        <w:rPr>
          <w:rFonts w:cs="Times New Roman"/>
          <w:szCs w:val="22"/>
          <w:lang w:eastAsia="fr-FR"/>
        </w:rPr>
        <w:t xml:space="preserve">, </w:t>
      </w:r>
      <w:r w:rsidR="00557208">
        <w:rPr>
          <w:rFonts w:cs="Times New Roman"/>
          <w:szCs w:val="22"/>
          <w:lang w:eastAsia="fr-FR"/>
        </w:rPr>
        <w:t>par SdC</w:t>
      </w:r>
      <w:r w:rsidR="007B47DF" w:rsidRPr="008C33CC">
        <w:rPr>
          <w:rFonts w:cs="Times New Roman"/>
          <w:szCs w:val="22"/>
          <w:lang w:eastAsia="fr-FR"/>
        </w:rPr>
        <w:t xml:space="preserve">. </w:t>
      </w:r>
      <w:r w:rsidR="00AC03C8">
        <w:rPr>
          <w:rFonts w:cs="Times New Roman"/>
          <w:szCs w:val="22"/>
          <w:lang w:eastAsia="fr-FR"/>
        </w:rPr>
        <w:t>Comme en 20</w:t>
      </w:r>
      <w:r w:rsidR="00CE5C78">
        <w:rPr>
          <w:rFonts w:cs="Times New Roman"/>
          <w:szCs w:val="22"/>
          <w:lang w:eastAsia="fr-FR"/>
        </w:rPr>
        <w:t>1</w:t>
      </w:r>
      <w:r w:rsidR="00AC03C8">
        <w:rPr>
          <w:rFonts w:cs="Times New Roman"/>
          <w:szCs w:val="22"/>
          <w:lang w:eastAsia="fr-FR"/>
        </w:rPr>
        <w:t xml:space="preserve">4, </w:t>
      </w:r>
      <w:r w:rsidR="008D28BC" w:rsidRPr="008C33CC">
        <w:rPr>
          <w:rFonts w:cs="Times New Roman"/>
          <w:szCs w:val="22"/>
          <w:lang w:eastAsia="fr-FR"/>
        </w:rPr>
        <w:t>nous avons calculé les coûts</w:t>
      </w:r>
      <w:r w:rsidR="00F33294" w:rsidRPr="008C33CC">
        <w:rPr>
          <w:rFonts w:cs="Times New Roman"/>
          <w:szCs w:val="22"/>
          <w:lang w:eastAsia="fr-FR"/>
        </w:rPr>
        <w:t xml:space="preserve"> de production pour les kiwis et</w:t>
      </w:r>
      <w:r w:rsidR="008D28BC" w:rsidRPr="008C33CC">
        <w:rPr>
          <w:rFonts w:cs="Times New Roman"/>
          <w:szCs w:val="22"/>
          <w:lang w:eastAsia="fr-FR"/>
        </w:rPr>
        <w:t xml:space="preserve"> les marges pour les clémentines (les marges ne sont pas disponibles au moment du rendu du rapport</w:t>
      </w:r>
      <w:r w:rsidRPr="008C33CC">
        <w:rPr>
          <w:rFonts w:cs="Times New Roman"/>
          <w:szCs w:val="22"/>
          <w:lang w:eastAsia="fr-FR"/>
        </w:rPr>
        <w:t>, car un grand nombre de renseignements ne sont pas encore disponibles</w:t>
      </w:r>
      <w:r w:rsidR="008D28BC" w:rsidRPr="008C33CC">
        <w:rPr>
          <w:rFonts w:cs="Times New Roman"/>
          <w:szCs w:val="22"/>
          <w:lang w:eastAsia="fr-FR"/>
        </w:rPr>
        <w:t>).</w:t>
      </w:r>
    </w:p>
    <w:p w:rsidR="00F33294" w:rsidRPr="008C33CC" w:rsidRDefault="005564C9" w:rsidP="00AE2CF7">
      <w:p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Dans les indicateurs environnementaux, la diversité et la quantité des a</w:t>
      </w:r>
      <w:r w:rsidR="007B47DF" w:rsidRPr="008C33CC">
        <w:rPr>
          <w:rFonts w:cs="Times New Roman"/>
          <w:szCs w:val="22"/>
          <w:lang w:eastAsia="fr-FR"/>
        </w:rPr>
        <w:t>cariens prédateurs</w:t>
      </w:r>
      <w:r w:rsidR="00EE5643" w:rsidRPr="008C33CC">
        <w:rPr>
          <w:rFonts w:cs="Times New Roman"/>
          <w:szCs w:val="22"/>
          <w:lang w:eastAsia="fr-FR"/>
        </w:rPr>
        <w:t xml:space="preserve"> ont été </w:t>
      </w:r>
      <w:r w:rsidRPr="008C33CC">
        <w:rPr>
          <w:rFonts w:cs="Times New Roman"/>
          <w:szCs w:val="22"/>
          <w:lang w:eastAsia="fr-FR"/>
        </w:rPr>
        <w:t>conservés</w:t>
      </w:r>
      <w:r w:rsidR="00873BB7" w:rsidRPr="008C33CC">
        <w:rPr>
          <w:rFonts w:cs="Times New Roman"/>
          <w:szCs w:val="22"/>
          <w:lang w:eastAsia="fr-FR"/>
        </w:rPr>
        <w:t xml:space="preserve">. </w:t>
      </w:r>
      <w:r w:rsidR="00557208">
        <w:rPr>
          <w:rFonts w:cs="Times New Roman"/>
          <w:szCs w:val="22"/>
          <w:lang w:eastAsia="fr-FR"/>
        </w:rPr>
        <w:t>Trois prélèvements de feuilles ont été réalisés dans l’année (printemps, été et automne) et envoyé</w:t>
      </w:r>
      <w:r w:rsidR="001C7828" w:rsidRPr="008C33CC">
        <w:rPr>
          <w:rFonts w:cs="Times New Roman"/>
          <w:szCs w:val="22"/>
          <w:lang w:eastAsia="fr-FR"/>
        </w:rPr>
        <w:t>s à Montpellier SupAgro pour analyse</w:t>
      </w:r>
      <w:r w:rsidR="00AC03C8">
        <w:rPr>
          <w:rFonts w:cs="Times New Roman"/>
          <w:szCs w:val="22"/>
          <w:lang w:eastAsia="fr-FR"/>
        </w:rPr>
        <w:t>.</w:t>
      </w:r>
      <w:r w:rsidR="00557208">
        <w:rPr>
          <w:rFonts w:cs="Times New Roman"/>
          <w:szCs w:val="22"/>
          <w:lang w:eastAsia="fr-FR"/>
        </w:rPr>
        <w:t xml:space="preserve"> Cet indicateur a été transféré </w:t>
      </w:r>
      <w:r w:rsidR="004A5E0B">
        <w:rPr>
          <w:rFonts w:cs="Times New Roman"/>
          <w:szCs w:val="22"/>
          <w:lang w:eastAsia="fr-FR"/>
        </w:rPr>
        <w:t xml:space="preserve">en 2015, </w:t>
      </w:r>
      <w:r w:rsidR="00557208">
        <w:rPr>
          <w:rFonts w:cs="Times New Roman"/>
          <w:szCs w:val="22"/>
          <w:lang w:eastAsia="fr-FR"/>
        </w:rPr>
        <w:t>dans le réseau Ferme.</w:t>
      </w:r>
    </w:p>
    <w:p w:rsidR="00FC2362" w:rsidRPr="008C33CC" w:rsidRDefault="00FC2362" w:rsidP="00AE2CF7">
      <w:pPr>
        <w:shd w:val="clear" w:color="auto" w:fill="FFFFFF"/>
        <w:suppressAutoHyphens w:val="0"/>
        <w:spacing w:after="0" w:line="276" w:lineRule="auto"/>
        <w:jc w:val="both"/>
        <w:rPr>
          <w:rFonts w:cs="Times New Roman"/>
          <w:szCs w:val="22"/>
          <w:lang w:eastAsia="fr-FR"/>
        </w:rPr>
      </w:pPr>
    </w:p>
    <w:p w:rsidR="007B47DF" w:rsidRPr="008C33CC" w:rsidRDefault="008D28BC" w:rsidP="00AE2CF7">
      <w:p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Vien</w:t>
      </w:r>
      <w:r w:rsidR="007B47DF" w:rsidRPr="008C33CC">
        <w:rPr>
          <w:rFonts w:cs="Times New Roman"/>
          <w:szCs w:val="22"/>
          <w:lang w:eastAsia="fr-FR"/>
        </w:rPr>
        <w:t>t se rajouter à tous ces indicateurs, l ’IFT</w:t>
      </w:r>
      <w:r w:rsidR="00873BB7" w:rsidRPr="008C33CC">
        <w:rPr>
          <w:rFonts w:cs="Times New Roman"/>
          <w:szCs w:val="22"/>
          <w:lang w:eastAsia="fr-FR"/>
        </w:rPr>
        <w:t xml:space="preserve"> (Indice de Fréquence de Traitement)</w:t>
      </w:r>
      <w:r w:rsidR="004E27D0" w:rsidRPr="008C33CC">
        <w:rPr>
          <w:rFonts w:cs="Times New Roman"/>
          <w:szCs w:val="22"/>
          <w:lang w:eastAsia="fr-FR"/>
        </w:rPr>
        <w:t>.</w:t>
      </w:r>
    </w:p>
    <w:p w:rsidR="008C33CC" w:rsidRPr="008C33CC" w:rsidRDefault="007B47DF" w:rsidP="00AE2CF7">
      <w:pPr>
        <w:shd w:val="clear" w:color="auto" w:fill="FFFFFF"/>
        <w:suppressAutoHyphens w:val="0"/>
        <w:spacing w:after="0" w:line="276" w:lineRule="auto"/>
        <w:rPr>
          <w:rFonts w:cs="Times New Roman"/>
          <w:szCs w:val="22"/>
          <w:lang w:eastAsia="fr-FR"/>
        </w:rPr>
      </w:pPr>
      <w:r w:rsidRPr="008C33CC">
        <w:rPr>
          <w:rFonts w:cs="Times New Roman"/>
          <w:szCs w:val="22"/>
          <w:lang w:eastAsia="fr-FR"/>
        </w:rPr>
        <w:t>L’IFT se traduit par le calcul suivant :</w:t>
      </w:r>
      <w:r w:rsidR="008C33CC" w:rsidRPr="008C33CC">
        <w:rPr>
          <w:rFonts w:cs="Times New Roman"/>
          <w:szCs w:val="22"/>
          <w:lang w:eastAsia="fr-FR"/>
        </w:rPr>
        <w:t xml:space="preserve"> ∑</w:t>
      </w:r>
      <w:r w:rsidR="008C33CC" w:rsidRPr="008C33CC">
        <w:rPr>
          <w:rFonts w:cs="Times New Roman"/>
          <w:szCs w:val="22"/>
          <w:vertAlign w:val="subscript"/>
          <w:lang w:eastAsia="fr-FR"/>
        </w:rPr>
        <w:t>T</w:t>
      </w:r>
      <w:r w:rsidR="008C33CC" w:rsidRPr="008C33CC">
        <w:rPr>
          <w:rFonts w:cs="Times New Roman"/>
          <w:szCs w:val="22"/>
          <w:lang w:eastAsia="fr-FR"/>
        </w:rPr>
        <w:t xml:space="preserve"> [DA</w:t>
      </w:r>
      <w:r w:rsidR="008C33CC" w:rsidRPr="008C33CC">
        <w:rPr>
          <w:rFonts w:cs="Times New Roman"/>
          <w:szCs w:val="22"/>
          <w:vertAlign w:val="subscript"/>
          <w:lang w:eastAsia="fr-FR"/>
        </w:rPr>
        <w:t>T</w:t>
      </w:r>
      <w:r w:rsidR="008C33CC" w:rsidRPr="008C33CC">
        <w:rPr>
          <w:rFonts w:cs="Times New Roman"/>
          <w:szCs w:val="22"/>
          <w:lang w:eastAsia="fr-FR"/>
        </w:rPr>
        <w:t>/ DR</w:t>
      </w:r>
      <w:r w:rsidR="008C33CC" w:rsidRPr="008C33CC">
        <w:rPr>
          <w:rFonts w:cs="Times New Roman"/>
          <w:szCs w:val="22"/>
          <w:vertAlign w:val="subscript"/>
          <w:lang w:eastAsia="fr-FR"/>
        </w:rPr>
        <w:t>T</w:t>
      </w:r>
      <w:r w:rsidR="008C33CC" w:rsidRPr="008C33CC">
        <w:rPr>
          <w:rFonts w:cs="Times New Roman"/>
          <w:szCs w:val="22"/>
          <w:lang w:eastAsia="fr-FR"/>
        </w:rPr>
        <w:t xml:space="preserve"> * PPT</w:t>
      </w:r>
      <w:r w:rsidR="008C33CC" w:rsidRPr="008C33CC">
        <w:rPr>
          <w:rFonts w:cs="Times New Roman"/>
          <w:szCs w:val="22"/>
          <w:vertAlign w:val="subscript"/>
          <w:lang w:eastAsia="fr-FR"/>
        </w:rPr>
        <w:t>T</w:t>
      </w:r>
      <w:r w:rsidR="008C33CC" w:rsidRPr="008C33CC">
        <w:rPr>
          <w:rFonts w:cs="Times New Roman"/>
          <w:szCs w:val="22"/>
          <w:lang w:eastAsia="fr-FR"/>
        </w:rPr>
        <w:t>]</w:t>
      </w:r>
    </w:p>
    <w:p w:rsidR="007B47DF" w:rsidRPr="008C33CC" w:rsidRDefault="007B47DF" w:rsidP="00AE2CF7">
      <w:p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où :</w:t>
      </w:r>
    </w:p>
    <w:p w:rsidR="007B47DF" w:rsidRPr="008C33CC" w:rsidRDefault="007B47DF" w:rsidP="00AE2CF7">
      <w:pPr>
        <w:suppressAutoHyphens w:val="0"/>
        <w:spacing w:after="0" w:line="276" w:lineRule="auto"/>
        <w:rPr>
          <w:rFonts w:eastAsia="Calibri" w:cs="Times New Roman"/>
          <w:szCs w:val="22"/>
          <w:lang w:eastAsia="en-US"/>
        </w:rPr>
      </w:pPr>
      <w:r w:rsidRPr="008C33CC">
        <w:rPr>
          <w:rFonts w:eastAsia="Calibri" w:cs="Times New Roman"/>
          <w:szCs w:val="22"/>
          <w:lang w:eastAsia="en-US"/>
        </w:rPr>
        <w:t>DA : Dose réellement appliquée par hectare</w:t>
      </w:r>
    </w:p>
    <w:p w:rsidR="007B47DF" w:rsidRPr="008C33CC" w:rsidRDefault="00754A0F" w:rsidP="00AE2CF7">
      <w:pPr>
        <w:suppressAutoHyphens w:val="0"/>
        <w:spacing w:after="0" w:line="276" w:lineRule="auto"/>
        <w:rPr>
          <w:rFonts w:eastAsia="Calibri" w:cs="Times New Roman"/>
          <w:szCs w:val="22"/>
          <w:lang w:eastAsia="en-US"/>
        </w:rPr>
      </w:pPr>
      <w:r w:rsidRPr="008C33CC">
        <w:rPr>
          <w:rFonts w:eastAsia="Calibri" w:cs="Times New Roman"/>
          <w:szCs w:val="22"/>
          <w:lang w:eastAsia="en-US"/>
        </w:rPr>
        <w:t>DR</w:t>
      </w:r>
      <w:r w:rsidR="007B47DF" w:rsidRPr="008C33CC">
        <w:rPr>
          <w:rFonts w:eastAsia="Calibri" w:cs="Times New Roman"/>
          <w:szCs w:val="22"/>
          <w:lang w:eastAsia="en-US"/>
        </w:rPr>
        <w:t xml:space="preserve"> : Dose </w:t>
      </w:r>
      <w:r w:rsidR="00F30FD1" w:rsidRPr="008C33CC">
        <w:rPr>
          <w:rFonts w:eastAsia="Calibri" w:cs="Times New Roman"/>
          <w:szCs w:val="22"/>
          <w:lang w:eastAsia="en-US"/>
        </w:rPr>
        <w:t>de référence (basé sur les références Agrosyst)</w:t>
      </w:r>
    </w:p>
    <w:p w:rsidR="007B47DF" w:rsidRPr="008C33CC" w:rsidRDefault="007B47DF" w:rsidP="00AE2CF7">
      <w:pPr>
        <w:suppressAutoHyphens w:val="0"/>
        <w:spacing w:after="0" w:line="276" w:lineRule="auto"/>
        <w:rPr>
          <w:rFonts w:eastAsia="Calibri" w:cs="Times New Roman"/>
          <w:szCs w:val="22"/>
          <w:lang w:eastAsia="en-US"/>
        </w:rPr>
      </w:pPr>
      <w:r w:rsidRPr="008C33CC">
        <w:rPr>
          <w:rFonts w:eastAsia="Calibri" w:cs="Times New Roman"/>
          <w:szCs w:val="22"/>
          <w:lang w:eastAsia="en-US"/>
        </w:rPr>
        <w:t>PPT : Proportion de la parcelle traitée</w:t>
      </w:r>
    </w:p>
    <w:p w:rsidR="0064188D" w:rsidRDefault="0064188D" w:rsidP="00AE2CF7">
      <w:pPr>
        <w:shd w:val="clear" w:color="auto" w:fill="FFFFFF"/>
        <w:suppressAutoHyphens w:val="0"/>
        <w:spacing w:after="0" w:line="276" w:lineRule="auto"/>
        <w:jc w:val="both"/>
        <w:rPr>
          <w:rFonts w:cs="Times New Roman"/>
          <w:szCs w:val="22"/>
          <w:lang w:eastAsia="fr-FR"/>
        </w:rPr>
      </w:pPr>
    </w:p>
    <w:p w:rsidR="007B47DF" w:rsidRPr="008C33CC" w:rsidRDefault="007B47DF" w:rsidP="00AE2CF7">
      <w:pPr>
        <w:shd w:val="clear" w:color="auto" w:fill="FFFFFF"/>
        <w:suppressAutoHyphens w:val="0"/>
        <w:spacing w:after="0" w:line="276" w:lineRule="auto"/>
        <w:jc w:val="both"/>
        <w:rPr>
          <w:rFonts w:cs="Times New Roman"/>
          <w:szCs w:val="22"/>
          <w:lang w:eastAsia="fr-FR"/>
        </w:rPr>
      </w:pPr>
      <w:r w:rsidRPr="008C33CC">
        <w:rPr>
          <w:rFonts w:cs="Times New Roman"/>
          <w:szCs w:val="22"/>
          <w:lang w:eastAsia="fr-FR"/>
        </w:rPr>
        <w:t>Les IFT intermédiaires sont :</w:t>
      </w:r>
    </w:p>
    <w:p w:rsidR="007B47DF" w:rsidRPr="008C33CC" w:rsidRDefault="007B47DF" w:rsidP="00AE2CF7">
      <w:pPr>
        <w:shd w:val="clear" w:color="auto" w:fill="FFFFFF"/>
        <w:suppressAutoHyphens w:val="0"/>
        <w:spacing w:after="0" w:line="276" w:lineRule="auto"/>
        <w:jc w:val="both"/>
        <w:rPr>
          <w:rFonts w:cs="Times New Roman"/>
          <w:szCs w:val="22"/>
          <w:lang w:eastAsia="fr-FR"/>
        </w:rPr>
      </w:pPr>
      <w:r w:rsidRPr="008C33CC">
        <w:rPr>
          <w:rFonts w:cs="Times New Roman"/>
          <w:b/>
          <w:szCs w:val="22"/>
          <w:lang w:eastAsia="fr-FR"/>
        </w:rPr>
        <w:t>L’IFT insecticide</w:t>
      </w:r>
      <w:r w:rsidR="00873BB7" w:rsidRPr="008C33CC">
        <w:rPr>
          <w:rFonts w:cs="Times New Roman"/>
          <w:szCs w:val="22"/>
          <w:lang w:eastAsia="fr-FR"/>
        </w:rPr>
        <w:t> : seuls les traitements contre les bio-agresseurs</w:t>
      </w:r>
      <w:r w:rsidRPr="008C33CC">
        <w:rPr>
          <w:rFonts w:cs="Times New Roman"/>
          <w:szCs w:val="22"/>
          <w:lang w:eastAsia="fr-FR"/>
        </w:rPr>
        <w:t xml:space="preserve"> seront pris en compte ;</w:t>
      </w:r>
    </w:p>
    <w:p w:rsidR="00873BB7" w:rsidRPr="008C33CC" w:rsidRDefault="00873BB7" w:rsidP="00AE2CF7">
      <w:pPr>
        <w:shd w:val="clear" w:color="auto" w:fill="FFFFFF"/>
        <w:suppressAutoHyphens w:val="0"/>
        <w:spacing w:after="0" w:line="276" w:lineRule="auto"/>
        <w:jc w:val="both"/>
        <w:rPr>
          <w:rFonts w:cs="Times New Roman"/>
          <w:szCs w:val="22"/>
          <w:lang w:eastAsia="fr-FR"/>
        </w:rPr>
      </w:pPr>
      <w:r w:rsidRPr="008C33CC">
        <w:rPr>
          <w:rFonts w:cs="Times New Roman"/>
          <w:b/>
          <w:szCs w:val="22"/>
          <w:lang w:eastAsia="fr-FR"/>
        </w:rPr>
        <w:t>L’IFT herbicide</w:t>
      </w:r>
      <w:r w:rsidRPr="008C33CC">
        <w:rPr>
          <w:rFonts w:cs="Times New Roman"/>
          <w:szCs w:val="22"/>
          <w:lang w:eastAsia="fr-FR"/>
        </w:rPr>
        <w:t> : seuls les traitements contre les adventices sont pris en compte ;</w:t>
      </w:r>
    </w:p>
    <w:p w:rsidR="007B47DF" w:rsidRPr="008C33CC" w:rsidRDefault="007B47DF" w:rsidP="00AE2CF7">
      <w:pPr>
        <w:shd w:val="clear" w:color="auto" w:fill="FFFFFF"/>
        <w:suppressAutoHyphens w:val="0"/>
        <w:spacing w:after="0" w:line="276" w:lineRule="auto"/>
        <w:jc w:val="both"/>
        <w:rPr>
          <w:rFonts w:cs="Times New Roman"/>
          <w:szCs w:val="22"/>
          <w:lang w:eastAsia="fr-FR"/>
        </w:rPr>
      </w:pPr>
      <w:r w:rsidRPr="008C33CC">
        <w:rPr>
          <w:rFonts w:cs="Times New Roman"/>
          <w:b/>
          <w:szCs w:val="22"/>
          <w:lang w:eastAsia="fr-FR"/>
        </w:rPr>
        <w:t>L’IFT acaricide</w:t>
      </w:r>
      <w:r w:rsidRPr="008C33CC">
        <w:rPr>
          <w:rFonts w:cs="Times New Roman"/>
          <w:szCs w:val="22"/>
          <w:lang w:eastAsia="fr-FR"/>
        </w:rPr>
        <w:t> : seuls les traitements acaricides seront pris en compte ;</w:t>
      </w:r>
    </w:p>
    <w:p w:rsidR="007B47DF" w:rsidRPr="008C33CC" w:rsidRDefault="007B47DF" w:rsidP="00AE2CF7">
      <w:pPr>
        <w:shd w:val="clear" w:color="auto" w:fill="FFFFFF"/>
        <w:suppressAutoHyphens w:val="0"/>
        <w:spacing w:after="0" w:line="276" w:lineRule="auto"/>
        <w:jc w:val="both"/>
        <w:rPr>
          <w:rFonts w:cs="Times New Roman"/>
          <w:szCs w:val="22"/>
          <w:lang w:eastAsia="fr-FR"/>
        </w:rPr>
      </w:pPr>
      <w:r w:rsidRPr="008C33CC">
        <w:rPr>
          <w:rFonts w:cs="Times New Roman"/>
          <w:b/>
          <w:szCs w:val="22"/>
          <w:lang w:eastAsia="fr-FR"/>
        </w:rPr>
        <w:t>L’IFT fongicide</w:t>
      </w:r>
      <w:r w:rsidRPr="008C33CC">
        <w:rPr>
          <w:rFonts w:cs="Times New Roman"/>
          <w:szCs w:val="22"/>
          <w:lang w:eastAsia="fr-FR"/>
        </w:rPr>
        <w:t>  seuls les traitements fongicides seront pris en compte ;</w:t>
      </w:r>
    </w:p>
    <w:p w:rsidR="009E3938" w:rsidRDefault="007B47DF" w:rsidP="00AE2CF7">
      <w:pPr>
        <w:shd w:val="clear" w:color="auto" w:fill="FFFFFF"/>
        <w:suppressAutoHyphens w:val="0"/>
        <w:spacing w:after="0" w:line="276" w:lineRule="auto"/>
        <w:jc w:val="both"/>
        <w:rPr>
          <w:rFonts w:cs="Times New Roman"/>
          <w:szCs w:val="22"/>
          <w:lang w:eastAsia="fr-FR"/>
        </w:rPr>
      </w:pPr>
      <w:r w:rsidRPr="008C33CC">
        <w:rPr>
          <w:rFonts w:cs="Times New Roman"/>
          <w:b/>
          <w:szCs w:val="22"/>
          <w:lang w:eastAsia="fr-FR"/>
        </w:rPr>
        <w:t>L’IFT biocontrôle </w:t>
      </w:r>
      <w:r w:rsidRPr="008C33CC">
        <w:rPr>
          <w:rFonts w:cs="Times New Roman"/>
          <w:szCs w:val="22"/>
          <w:lang w:eastAsia="fr-FR"/>
        </w:rPr>
        <w:t>: quatre types d’agents sont compris dans le biocontrôle : les macro-organismes auxiliaires, les micro-organismes, les médiateurs chimiques et les substances naturelles.</w:t>
      </w:r>
      <w:r w:rsidR="00731DD1">
        <w:rPr>
          <w:rFonts w:cs="Times New Roman"/>
          <w:szCs w:val="22"/>
          <w:lang w:eastAsia="fr-FR"/>
        </w:rPr>
        <w:t xml:space="preserve"> L’ensemble des produits de cette catégorie sont listés dans le référentiel « NODU vert ». Pour les calculs, le référentiel de février 2015 sera utilisé.</w:t>
      </w:r>
      <w:r w:rsidR="00557208">
        <w:rPr>
          <w:rFonts w:cs="Times New Roman"/>
          <w:szCs w:val="22"/>
          <w:lang w:eastAsia="fr-FR"/>
        </w:rPr>
        <w:t xml:space="preserve"> Comme en 2014, les IFT sont calculés à l’aide d</w:t>
      </w:r>
      <w:r w:rsidR="004A5E0B">
        <w:rPr>
          <w:rFonts w:cs="Times New Roman"/>
          <w:szCs w:val="22"/>
          <w:lang w:eastAsia="fr-FR"/>
        </w:rPr>
        <w:t xml:space="preserve">u système d’information de référence </w:t>
      </w:r>
      <w:r w:rsidR="00557208">
        <w:rPr>
          <w:rFonts w:cs="Times New Roman"/>
          <w:szCs w:val="22"/>
          <w:lang w:eastAsia="fr-FR"/>
        </w:rPr>
        <w:t>Agrosyst.</w:t>
      </w:r>
    </w:p>
    <w:p w:rsidR="009E3938" w:rsidRPr="005F070D" w:rsidRDefault="009E3938" w:rsidP="00AE2CF7">
      <w:pPr>
        <w:shd w:val="clear" w:color="auto" w:fill="FFFFFF"/>
        <w:suppressAutoHyphens w:val="0"/>
        <w:spacing w:after="0" w:line="276" w:lineRule="auto"/>
        <w:jc w:val="both"/>
        <w:rPr>
          <w:rFonts w:cs="Times New Roman"/>
          <w:sz w:val="24"/>
          <w:lang w:eastAsia="fr-FR"/>
        </w:rPr>
      </w:pPr>
    </w:p>
    <w:p w:rsidR="007B47DF" w:rsidRDefault="0080062C" w:rsidP="00AE2CF7">
      <w:pPr>
        <w:shd w:val="clear" w:color="auto" w:fill="FFFFFF"/>
        <w:suppressAutoHyphens w:val="0"/>
        <w:spacing w:after="0" w:line="276" w:lineRule="auto"/>
        <w:jc w:val="both"/>
        <w:rPr>
          <w:rFonts w:cs="Times New Roman"/>
          <w:color w:val="7030A0"/>
          <w:sz w:val="24"/>
          <w:lang w:eastAsia="fr-FR"/>
        </w:rPr>
      </w:pPr>
      <w:r>
        <w:rPr>
          <w:rFonts w:cs="Times New Roman"/>
          <w:color w:val="7030A0"/>
          <w:sz w:val="24"/>
          <w:lang w:eastAsia="fr-FR"/>
        </w:rPr>
        <w:t>La</w:t>
      </w:r>
      <w:r w:rsidR="00873BB7" w:rsidRPr="008C33CC">
        <w:rPr>
          <w:rFonts w:cs="Times New Roman"/>
          <w:color w:val="7030A0"/>
          <w:sz w:val="24"/>
          <w:lang w:eastAsia="fr-FR"/>
        </w:rPr>
        <w:t xml:space="preserve"> vigne</w:t>
      </w:r>
    </w:p>
    <w:p w:rsidR="007709D5" w:rsidRDefault="007709D5" w:rsidP="007709D5">
      <w:pPr>
        <w:jc w:val="both"/>
      </w:pPr>
      <w:r>
        <w:t xml:space="preserve">En ce qui concerne les indicateurs agronomiques de la vigne, l’observation et la quantification des ravageurs sont faites sur des placettes de 30 ceps. La modalité « témoin non traité » comporte 2 placettes, les autres modalités 4 placettes chacune (pour chaque placette, notations faites sur 100 feuilles et 100 grappes). Des contrôles hebdomadaires sur feuilles et sur grappes ont été effectués à partir du 07/05/2014 jusqu’au 04/09/14. </w:t>
      </w:r>
    </w:p>
    <w:p w:rsidR="007709D5" w:rsidRDefault="007709D5" w:rsidP="007709D5">
      <w:pPr>
        <w:jc w:val="both"/>
        <w:rPr>
          <w:highlight w:val="cyan"/>
        </w:rPr>
      </w:pPr>
      <w:r>
        <w:t>L’analyse physico-chimique du raisin se fait par des contrôles de maturité portant sur les critères suivants : TAP (titre alcoométrique probable), acidité totale, pH, azote assimilable et poids de 100 baies.</w:t>
      </w:r>
    </w:p>
    <w:p w:rsidR="006F6EB5" w:rsidRPr="007709D5" w:rsidRDefault="007709D5" w:rsidP="007709D5">
      <w:pPr>
        <w:jc w:val="both"/>
      </w:pPr>
      <w:r>
        <w:t>Les coûts de production sont calculés comme indicateur économique et des prélèvements d’acariens ont été effectués comme indicateur environnemental. Parallèlement, l’IFT a été calculé. L’IFT fongicide a été séparé en IFT mildiou et IFT oïdium, pour obtenir une meilleure visibilité des intrants des principales maladies.</w:t>
      </w:r>
    </w:p>
    <w:p w:rsidR="007B47DF" w:rsidRPr="005F070D" w:rsidRDefault="007B47DF" w:rsidP="00AE2CF7">
      <w:pPr>
        <w:pStyle w:val="Titre3"/>
        <w:numPr>
          <w:ilvl w:val="0"/>
          <w:numId w:val="32"/>
        </w:numPr>
        <w:spacing w:line="276" w:lineRule="auto"/>
        <w:rPr>
          <w:rFonts w:ascii="Times New Roman" w:hAnsi="Times New Roman"/>
          <w:sz w:val="24"/>
          <w:szCs w:val="24"/>
        </w:rPr>
      </w:pPr>
      <w:bookmarkStart w:id="13" w:name="_Toc380653850"/>
      <w:bookmarkStart w:id="14" w:name="_Toc380998562"/>
      <w:bookmarkStart w:id="15" w:name="_Toc446344568"/>
      <w:r w:rsidRPr="005F070D">
        <w:rPr>
          <w:rFonts w:ascii="Times New Roman" w:hAnsi="Times New Roman"/>
          <w:sz w:val="24"/>
          <w:szCs w:val="24"/>
        </w:rPr>
        <w:t>Les leviers utilisés</w:t>
      </w:r>
      <w:bookmarkEnd w:id="13"/>
      <w:bookmarkEnd w:id="14"/>
      <w:bookmarkEnd w:id="15"/>
    </w:p>
    <w:p w:rsidR="00834264" w:rsidRPr="005F070D" w:rsidRDefault="00834264" w:rsidP="00AE2CF7">
      <w:pPr>
        <w:shd w:val="clear" w:color="auto" w:fill="FFFFFF"/>
        <w:suppressAutoHyphens w:val="0"/>
        <w:spacing w:after="0" w:line="276" w:lineRule="auto"/>
        <w:jc w:val="both"/>
        <w:rPr>
          <w:rFonts w:cs="Times New Roman"/>
          <w:color w:val="F79646"/>
          <w:sz w:val="24"/>
          <w:lang w:eastAsia="fr-FR"/>
        </w:rPr>
      </w:pPr>
    </w:p>
    <w:p w:rsidR="007B47DF" w:rsidRPr="0080062C" w:rsidRDefault="0080062C" w:rsidP="00AE2CF7">
      <w:pPr>
        <w:shd w:val="clear" w:color="auto" w:fill="FFFFFF"/>
        <w:suppressAutoHyphens w:val="0"/>
        <w:spacing w:after="0" w:line="276" w:lineRule="auto"/>
        <w:jc w:val="both"/>
        <w:rPr>
          <w:rFonts w:cs="Times New Roman"/>
          <w:color w:val="F79646" w:themeColor="accent6"/>
          <w:sz w:val="24"/>
          <w:lang w:eastAsia="fr-FR"/>
        </w:rPr>
      </w:pPr>
      <w:r w:rsidRPr="0080062C">
        <w:rPr>
          <w:rFonts w:cs="Times New Roman"/>
          <w:color w:val="F79646" w:themeColor="accent6"/>
          <w:sz w:val="24"/>
          <w:lang w:eastAsia="fr-FR"/>
        </w:rPr>
        <w:t xml:space="preserve"> L</w:t>
      </w:r>
      <w:r w:rsidR="007B47DF" w:rsidRPr="0080062C">
        <w:rPr>
          <w:rFonts w:cs="Times New Roman"/>
          <w:color w:val="F79646" w:themeColor="accent6"/>
          <w:sz w:val="24"/>
          <w:lang w:eastAsia="fr-FR"/>
        </w:rPr>
        <w:t>es clémentiniers</w:t>
      </w:r>
    </w:p>
    <w:p w:rsidR="009C52B3" w:rsidRPr="005F070D" w:rsidRDefault="009C52B3" w:rsidP="00AE2CF7">
      <w:pPr>
        <w:shd w:val="clear" w:color="auto" w:fill="FFFFFF"/>
        <w:suppressAutoHyphens w:val="0"/>
        <w:spacing w:after="0" w:line="276" w:lineRule="auto"/>
        <w:jc w:val="both"/>
        <w:rPr>
          <w:rFonts w:cs="Times New Roman"/>
          <w:i/>
          <w:color w:val="F79646"/>
          <w:sz w:val="24"/>
          <w:lang w:eastAsia="fr-FR"/>
        </w:rPr>
      </w:pPr>
    </w:p>
    <w:p w:rsidR="00EE5643" w:rsidRPr="00CE5C78" w:rsidRDefault="009C52B3" w:rsidP="00AE2CF7">
      <w:pPr>
        <w:suppressAutoHyphens w:val="0"/>
        <w:spacing w:after="0" w:line="276" w:lineRule="auto"/>
        <w:jc w:val="both"/>
        <w:rPr>
          <w:rFonts w:cs="Times New Roman"/>
          <w:szCs w:val="22"/>
          <w:lang w:eastAsia="fr-FR"/>
        </w:rPr>
      </w:pPr>
      <w:r w:rsidRPr="00CE5C78">
        <w:rPr>
          <w:rFonts w:cs="Times New Roman"/>
          <w:szCs w:val="22"/>
          <w:lang w:eastAsia="fr-FR"/>
        </w:rPr>
        <w:t xml:space="preserve">Pour le </w:t>
      </w:r>
      <w:r w:rsidR="00EE5643" w:rsidRPr="00CE5C78">
        <w:rPr>
          <w:rFonts w:cs="Times New Roman"/>
          <w:szCs w:val="22"/>
          <w:lang w:eastAsia="fr-FR"/>
        </w:rPr>
        <w:t xml:space="preserve">SdC </w:t>
      </w:r>
      <w:r w:rsidRPr="00CE5C78">
        <w:rPr>
          <w:rFonts w:cs="Times New Roman"/>
          <w:szCs w:val="22"/>
          <w:lang w:eastAsia="fr-FR"/>
        </w:rPr>
        <w:t>1</w:t>
      </w:r>
      <w:r w:rsidR="00EE5643" w:rsidRPr="00CE5C78">
        <w:rPr>
          <w:rFonts w:cs="Times New Roman"/>
          <w:szCs w:val="22"/>
          <w:lang w:eastAsia="fr-FR"/>
        </w:rPr>
        <w:t xml:space="preserve"> (</w:t>
      </w:r>
      <w:r w:rsidR="00F660B3" w:rsidRPr="00CE5C78">
        <w:rPr>
          <w:rFonts w:cs="Times New Roman"/>
          <w:szCs w:val="22"/>
          <w:lang w:eastAsia="fr-FR"/>
        </w:rPr>
        <w:t xml:space="preserve">noté </w:t>
      </w:r>
      <w:r w:rsidR="004E27D0" w:rsidRPr="00CE5C78">
        <w:rPr>
          <w:rFonts w:cs="Times New Roman"/>
          <w:szCs w:val="22"/>
          <w:lang w:eastAsia="fr-FR"/>
        </w:rPr>
        <w:t>CH</w:t>
      </w:r>
      <w:r w:rsidR="00EE5643" w:rsidRPr="00CE5C78">
        <w:rPr>
          <w:rFonts w:cs="Times New Roman"/>
          <w:szCs w:val="22"/>
          <w:lang w:eastAsia="fr-FR"/>
        </w:rPr>
        <w:t>)</w:t>
      </w:r>
      <w:r w:rsidRPr="00CE5C78">
        <w:rPr>
          <w:rFonts w:cs="Times New Roman"/>
          <w:szCs w:val="22"/>
          <w:lang w:eastAsia="fr-FR"/>
        </w:rPr>
        <w:t xml:space="preserve">, l’enherbement est permanent sur </w:t>
      </w:r>
      <w:r w:rsidR="00EE5643" w:rsidRPr="00CE5C78">
        <w:rPr>
          <w:rFonts w:cs="Times New Roman"/>
          <w:szCs w:val="22"/>
          <w:lang w:eastAsia="fr-FR"/>
        </w:rPr>
        <w:t>l’inter-rang</w:t>
      </w:r>
      <w:r w:rsidRPr="00CE5C78">
        <w:rPr>
          <w:rFonts w:cs="Times New Roman"/>
          <w:szCs w:val="22"/>
          <w:lang w:eastAsia="fr-FR"/>
        </w:rPr>
        <w:t xml:space="preserve"> et </w:t>
      </w:r>
      <w:r w:rsidR="00C71166" w:rsidRPr="00CE5C78">
        <w:rPr>
          <w:rFonts w:cs="Times New Roman"/>
          <w:szCs w:val="22"/>
          <w:lang w:eastAsia="fr-FR"/>
        </w:rPr>
        <w:t xml:space="preserve">le </w:t>
      </w:r>
      <w:r w:rsidRPr="00CE5C78">
        <w:rPr>
          <w:rFonts w:cs="Times New Roman"/>
          <w:szCs w:val="22"/>
          <w:lang w:eastAsia="fr-FR"/>
        </w:rPr>
        <w:t xml:space="preserve">désherbage chimique sur le rang. </w:t>
      </w:r>
      <w:r w:rsidR="00817D19" w:rsidRPr="00CE5C78">
        <w:rPr>
          <w:rFonts w:cs="Times New Roman"/>
          <w:szCs w:val="22"/>
          <w:lang w:eastAsia="fr-FR"/>
        </w:rPr>
        <w:t>Le r</w:t>
      </w:r>
      <w:r w:rsidRPr="00CE5C78">
        <w:rPr>
          <w:rFonts w:cs="Times New Roman"/>
          <w:szCs w:val="22"/>
          <w:lang w:eastAsia="fr-FR"/>
        </w:rPr>
        <w:t xml:space="preserve">aisonnement des interventions </w:t>
      </w:r>
      <w:r w:rsidR="00817D19" w:rsidRPr="00CE5C78">
        <w:rPr>
          <w:rFonts w:cs="Times New Roman"/>
          <w:szCs w:val="22"/>
          <w:lang w:eastAsia="fr-FR"/>
        </w:rPr>
        <w:t xml:space="preserve">se fait </w:t>
      </w:r>
      <w:r w:rsidRPr="00CE5C78">
        <w:rPr>
          <w:rFonts w:cs="Times New Roman"/>
          <w:szCs w:val="22"/>
          <w:lang w:eastAsia="fr-FR"/>
        </w:rPr>
        <w:t>en fonction des observations</w:t>
      </w:r>
      <w:r w:rsidR="00EE5643" w:rsidRPr="00CE5C78">
        <w:rPr>
          <w:rFonts w:cs="Times New Roman"/>
          <w:szCs w:val="22"/>
          <w:lang w:eastAsia="fr-FR"/>
        </w:rPr>
        <w:t xml:space="preserve"> et des Bulletins de Santé du Végétal (BSV). L’ensemble des produi</w:t>
      </w:r>
      <w:r w:rsidR="006F6EB5" w:rsidRPr="00CE5C78">
        <w:rPr>
          <w:rFonts w:cs="Times New Roman"/>
          <w:szCs w:val="22"/>
          <w:lang w:eastAsia="fr-FR"/>
        </w:rPr>
        <w:t xml:space="preserve">ts phytosanitaires utilisés est </w:t>
      </w:r>
      <w:r w:rsidR="00EE5643" w:rsidRPr="00CE5C78">
        <w:rPr>
          <w:rFonts w:cs="Times New Roman"/>
          <w:szCs w:val="22"/>
          <w:lang w:eastAsia="fr-FR"/>
        </w:rPr>
        <w:t>hom</w:t>
      </w:r>
      <w:r w:rsidR="006F6EB5" w:rsidRPr="00CE5C78">
        <w:rPr>
          <w:rFonts w:cs="Times New Roman"/>
          <w:szCs w:val="22"/>
          <w:lang w:eastAsia="fr-FR"/>
        </w:rPr>
        <w:t>ologué et appliqué</w:t>
      </w:r>
      <w:r w:rsidR="00EE5643" w:rsidRPr="00CE5C78">
        <w:rPr>
          <w:rFonts w:cs="Times New Roman"/>
          <w:szCs w:val="22"/>
          <w:lang w:eastAsia="fr-FR"/>
        </w:rPr>
        <w:t xml:space="preserve"> à la dose maximale autorisée (limité au nombre d’application</w:t>
      </w:r>
      <w:r w:rsidR="006F6EB5" w:rsidRPr="00CE5C78">
        <w:rPr>
          <w:rFonts w:cs="Times New Roman"/>
          <w:szCs w:val="22"/>
          <w:lang w:eastAsia="fr-FR"/>
        </w:rPr>
        <w:t>s</w:t>
      </w:r>
      <w:r w:rsidR="00EE5643" w:rsidRPr="00CE5C78">
        <w:rPr>
          <w:rFonts w:cs="Times New Roman"/>
          <w:szCs w:val="22"/>
          <w:lang w:eastAsia="fr-FR"/>
        </w:rPr>
        <w:t>).</w:t>
      </w:r>
    </w:p>
    <w:p w:rsidR="008D28BC" w:rsidRPr="00CE5C78" w:rsidRDefault="008D28BC" w:rsidP="00AE2CF7">
      <w:pPr>
        <w:shd w:val="clear" w:color="auto" w:fill="FFFFFF"/>
        <w:suppressAutoHyphens w:val="0"/>
        <w:spacing w:after="0" w:line="276" w:lineRule="auto"/>
        <w:jc w:val="both"/>
        <w:rPr>
          <w:rFonts w:cs="Times New Roman"/>
          <w:szCs w:val="22"/>
          <w:lang w:eastAsia="fr-FR"/>
        </w:rPr>
      </w:pPr>
      <w:r w:rsidRPr="00CE5C78">
        <w:rPr>
          <w:rFonts w:cs="Times New Roman"/>
          <w:szCs w:val="22"/>
          <w:lang w:eastAsia="fr-FR"/>
        </w:rPr>
        <w:lastRenderedPageBreak/>
        <w:t>Pour les SdC 2</w:t>
      </w:r>
      <w:r w:rsidR="004E27D0" w:rsidRPr="00CE5C78">
        <w:rPr>
          <w:rFonts w:cs="Times New Roman"/>
          <w:szCs w:val="22"/>
          <w:lang w:eastAsia="fr-FR"/>
        </w:rPr>
        <w:t xml:space="preserve"> (</w:t>
      </w:r>
      <w:r w:rsidR="00F660B3" w:rsidRPr="00CE5C78">
        <w:rPr>
          <w:rFonts w:cs="Times New Roman"/>
          <w:szCs w:val="22"/>
          <w:lang w:eastAsia="fr-FR"/>
        </w:rPr>
        <w:t xml:space="preserve">noté </w:t>
      </w:r>
      <w:r w:rsidR="004E27D0" w:rsidRPr="00CE5C78">
        <w:rPr>
          <w:rFonts w:cs="Times New Roman"/>
          <w:szCs w:val="22"/>
          <w:lang w:eastAsia="fr-FR"/>
        </w:rPr>
        <w:t>50%)</w:t>
      </w:r>
      <w:r w:rsidRPr="00CE5C78">
        <w:rPr>
          <w:rFonts w:cs="Times New Roman"/>
          <w:szCs w:val="22"/>
          <w:lang w:eastAsia="fr-FR"/>
        </w:rPr>
        <w:t xml:space="preserve">, l’enherbement est permanent sur l’inter-rang et le désherbage chimique sur le rang avec une réduction de la surface désherbée par rapport au SdC 1. </w:t>
      </w:r>
      <w:r w:rsidR="00FC2362" w:rsidRPr="00CE5C78">
        <w:rPr>
          <w:rFonts w:cs="Times New Roman"/>
          <w:szCs w:val="22"/>
          <w:lang w:eastAsia="fr-FR"/>
        </w:rPr>
        <w:t>L’ensemble des interventions chimiques est remplacé dès que possible par des méthodes</w:t>
      </w:r>
      <w:r w:rsidR="00625A55" w:rsidRPr="00CE5C78">
        <w:rPr>
          <w:rFonts w:cs="Times New Roman"/>
          <w:szCs w:val="22"/>
          <w:lang w:eastAsia="fr-FR"/>
        </w:rPr>
        <w:t xml:space="preserve"> de lutte alternative et basé sur des observations au champ et</w:t>
      </w:r>
      <w:r w:rsidR="00F660B3" w:rsidRPr="00CE5C78">
        <w:rPr>
          <w:rFonts w:cs="Times New Roman"/>
          <w:szCs w:val="22"/>
          <w:lang w:eastAsia="fr-FR"/>
        </w:rPr>
        <w:t xml:space="preserve"> sur</w:t>
      </w:r>
      <w:r w:rsidR="00625A55" w:rsidRPr="00CE5C78">
        <w:rPr>
          <w:rFonts w:cs="Times New Roman"/>
          <w:szCs w:val="22"/>
          <w:lang w:eastAsia="fr-FR"/>
        </w:rPr>
        <w:t xml:space="preserve"> le BSV.</w:t>
      </w:r>
    </w:p>
    <w:p w:rsidR="00AB32CC" w:rsidRPr="00CE5C78" w:rsidRDefault="008D28BC" w:rsidP="00AE2CF7">
      <w:pPr>
        <w:shd w:val="clear" w:color="auto" w:fill="FFFFFF"/>
        <w:suppressAutoHyphens w:val="0"/>
        <w:spacing w:after="0" w:line="276" w:lineRule="auto"/>
        <w:jc w:val="both"/>
        <w:rPr>
          <w:rFonts w:cs="Times New Roman"/>
          <w:szCs w:val="22"/>
          <w:lang w:eastAsia="fr-FR"/>
        </w:rPr>
      </w:pPr>
      <w:r w:rsidRPr="00CE5C78">
        <w:rPr>
          <w:rFonts w:cs="Times New Roman"/>
          <w:szCs w:val="22"/>
          <w:lang w:eastAsia="fr-FR"/>
        </w:rPr>
        <w:t>Pour le SdC</w:t>
      </w:r>
      <w:r w:rsidR="00817D19" w:rsidRPr="00CE5C78">
        <w:rPr>
          <w:rFonts w:cs="Times New Roman"/>
          <w:szCs w:val="22"/>
          <w:lang w:eastAsia="fr-FR"/>
        </w:rPr>
        <w:t xml:space="preserve"> 3</w:t>
      </w:r>
      <w:r w:rsidR="004E27D0" w:rsidRPr="00CE5C78">
        <w:rPr>
          <w:rFonts w:cs="Times New Roman"/>
          <w:szCs w:val="22"/>
          <w:lang w:eastAsia="fr-FR"/>
        </w:rPr>
        <w:t xml:space="preserve"> (</w:t>
      </w:r>
      <w:r w:rsidR="00F660B3" w:rsidRPr="00CE5C78">
        <w:rPr>
          <w:rFonts w:cs="Times New Roman"/>
          <w:szCs w:val="22"/>
          <w:lang w:eastAsia="fr-FR"/>
        </w:rPr>
        <w:t xml:space="preserve">noté </w:t>
      </w:r>
      <w:r w:rsidR="004E27D0" w:rsidRPr="00CE5C78">
        <w:rPr>
          <w:rFonts w:cs="Times New Roman"/>
          <w:szCs w:val="22"/>
          <w:lang w:eastAsia="fr-FR"/>
        </w:rPr>
        <w:t>LB)</w:t>
      </w:r>
      <w:r w:rsidR="00817D19" w:rsidRPr="00CE5C78">
        <w:rPr>
          <w:rFonts w:cs="Times New Roman"/>
          <w:szCs w:val="22"/>
          <w:lang w:eastAsia="fr-FR"/>
        </w:rPr>
        <w:t xml:space="preserve">, l’enherbement est permanent sur </w:t>
      </w:r>
      <w:r w:rsidR="00216099" w:rsidRPr="00CE5C78">
        <w:rPr>
          <w:rFonts w:cs="Times New Roman"/>
          <w:szCs w:val="22"/>
          <w:lang w:eastAsia="fr-FR"/>
        </w:rPr>
        <w:t>l’inter-rang</w:t>
      </w:r>
      <w:r w:rsidR="00626A4E" w:rsidRPr="00CE5C78">
        <w:rPr>
          <w:rFonts w:cs="Times New Roman"/>
          <w:szCs w:val="22"/>
          <w:lang w:eastAsia="fr-FR"/>
        </w:rPr>
        <w:t xml:space="preserve"> et le désherbage mécaniq</w:t>
      </w:r>
      <w:r w:rsidR="00817D19" w:rsidRPr="00CE5C78">
        <w:rPr>
          <w:rFonts w:cs="Times New Roman"/>
          <w:szCs w:val="22"/>
          <w:lang w:eastAsia="fr-FR"/>
        </w:rPr>
        <w:t xml:space="preserve">ue sur le rang. Les interventions chimiques </w:t>
      </w:r>
      <w:r w:rsidR="00FC2362" w:rsidRPr="00CE5C78">
        <w:rPr>
          <w:rFonts w:cs="Times New Roman"/>
          <w:szCs w:val="22"/>
          <w:lang w:eastAsia="fr-FR"/>
        </w:rPr>
        <w:t xml:space="preserve">sont homologuées en agriculture biologique et </w:t>
      </w:r>
      <w:r w:rsidR="00817D19" w:rsidRPr="00CE5C78">
        <w:rPr>
          <w:rFonts w:cs="Times New Roman"/>
          <w:szCs w:val="22"/>
          <w:lang w:eastAsia="fr-FR"/>
        </w:rPr>
        <w:t xml:space="preserve">sont </w:t>
      </w:r>
      <w:r w:rsidR="00626A4E" w:rsidRPr="00CE5C78">
        <w:rPr>
          <w:rFonts w:cs="Times New Roman"/>
          <w:szCs w:val="22"/>
          <w:lang w:eastAsia="fr-FR"/>
        </w:rPr>
        <w:t>remplacées</w:t>
      </w:r>
      <w:r w:rsidR="004E27D0" w:rsidRPr="00CE5C78">
        <w:rPr>
          <w:rFonts w:cs="Times New Roman"/>
          <w:szCs w:val="22"/>
          <w:lang w:eastAsia="fr-FR"/>
        </w:rPr>
        <w:t>,</w:t>
      </w:r>
      <w:r w:rsidR="00817D19" w:rsidRPr="00CE5C78">
        <w:rPr>
          <w:rFonts w:cs="Times New Roman"/>
          <w:szCs w:val="22"/>
          <w:lang w:eastAsia="fr-FR"/>
        </w:rPr>
        <w:t xml:space="preserve"> dès que possible</w:t>
      </w:r>
      <w:r w:rsidR="004E27D0" w:rsidRPr="00CE5C78">
        <w:rPr>
          <w:rFonts w:cs="Times New Roman"/>
          <w:szCs w:val="22"/>
          <w:lang w:eastAsia="fr-FR"/>
        </w:rPr>
        <w:t>,</w:t>
      </w:r>
      <w:r w:rsidR="00817D19" w:rsidRPr="00CE5C78">
        <w:rPr>
          <w:rFonts w:cs="Times New Roman"/>
          <w:szCs w:val="22"/>
          <w:lang w:eastAsia="fr-FR"/>
        </w:rPr>
        <w:t xml:space="preserve"> par des méthodes de lut</w:t>
      </w:r>
      <w:r w:rsidR="006F6EB5" w:rsidRPr="00CE5C78">
        <w:rPr>
          <w:rFonts w:cs="Times New Roman"/>
          <w:szCs w:val="22"/>
          <w:lang w:eastAsia="fr-FR"/>
        </w:rPr>
        <w:t>te alternative</w:t>
      </w:r>
      <w:r w:rsidR="00A97E20">
        <w:rPr>
          <w:rFonts w:cs="Times New Roman"/>
          <w:szCs w:val="22"/>
          <w:lang w:eastAsia="fr-FR"/>
        </w:rPr>
        <w:t>.</w:t>
      </w:r>
    </w:p>
    <w:p w:rsidR="00817D19" w:rsidRPr="005F070D" w:rsidRDefault="00817D19" w:rsidP="00AE2CF7">
      <w:pPr>
        <w:shd w:val="clear" w:color="auto" w:fill="FFFFFF"/>
        <w:suppressAutoHyphens w:val="0"/>
        <w:spacing w:after="0" w:line="276" w:lineRule="auto"/>
        <w:jc w:val="both"/>
        <w:rPr>
          <w:rFonts w:cs="Times New Roman"/>
          <w:sz w:val="24"/>
          <w:lang w:eastAsia="fr-FR"/>
        </w:rPr>
      </w:pPr>
    </w:p>
    <w:p w:rsidR="007B47DF" w:rsidRPr="005F070D" w:rsidRDefault="007B47DF"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w:t>
      </w:r>
      <w:r w:rsidR="008F72D3">
        <w:rPr>
          <w:noProof/>
        </w:rPr>
        <w:fldChar w:fldCharType="end"/>
      </w:r>
      <w:r w:rsidRPr="005F070D">
        <w:t xml:space="preserve"> : Liste des leviers utilisés </w:t>
      </w:r>
      <w:r w:rsidR="00817D19" w:rsidRPr="005F070D">
        <w:t>dans les SdC 2 et 3</w:t>
      </w:r>
    </w:p>
    <w:tbl>
      <w:tblPr>
        <w:tblW w:w="9170"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452"/>
        <w:gridCol w:w="2614"/>
        <w:gridCol w:w="4104"/>
      </w:tblGrid>
      <w:tr w:rsidR="007B47DF" w:rsidRPr="005F070D" w:rsidTr="008C33CC">
        <w:trPr>
          <w:trHeight w:val="189"/>
        </w:trPr>
        <w:tc>
          <w:tcPr>
            <w:tcW w:w="2452" w:type="dxa"/>
            <w:shd w:val="clear" w:color="auto" w:fill="9BBB59"/>
            <w:vAlign w:val="center"/>
          </w:tcPr>
          <w:p w:rsidR="007B47DF" w:rsidRPr="008C33CC" w:rsidRDefault="007B47DF" w:rsidP="00AE2CF7">
            <w:pPr>
              <w:suppressAutoHyphens w:val="0"/>
              <w:spacing w:after="0" w:line="276" w:lineRule="auto"/>
              <w:jc w:val="center"/>
              <w:rPr>
                <w:rFonts w:eastAsia="Calibri" w:cs="Times New Roman"/>
                <w:b/>
                <w:bCs/>
                <w:color w:val="FFFFFF"/>
                <w:szCs w:val="22"/>
                <w:lang w:eastAsia="fr-FR"/>
              </w:rPr>
            </w:pPr>
            <w:r w:rsidRPr="008C33CC">
              <w:rPr>
                <w:rFonts w:eastAsia="Calibri" w:cs="Times New Roman"/>
                <w:b/>
                <w:bCs/>
                <w:color w:val="FFFFFF"/>
                <w:szCs w:val="22"/>
                <w:lang w:eastAsia="fr-FR"/>
              </w:rPr>
              <w:t>Cibles</w:t>
            </w:r>
          </w:p>
        </w:tc>
        <w:tc>
          <w:tcPr>
            <w:tcW w:w="2614" w:type="dxa"/>
            <w:shd w:val="clear" w:color="auto" w:fill="9BBB59"/>
            <w:vAlign w:val="center"/>
          </w:tcPr>
          <w:p w:rsidR="007B47DF" w:rsidRPr="008C33CC" w:rsidRDefault="007B47DF" w:rsidP="00AE2CF7">
            <w:pPr>
              <w:suppressAutoHyphens w:val="0"/>
              <w:spacing w:after="0" w:line="276" w:lineRule="auto"/>
              <w:jc w:val="center"/>
              <w:rPr>
                <w:rFonts w:eastAsia="Calibri" w:cs="Times New Roman"/>
                <w:b/>
                <w:bCs/>
                <w:color w:val="FFFFFF"/>
                <w:szCs w:val="22"/>
                <w:lang w:eastAsia="fr-FR"/>
              </w:rPr>
            </w:pPr>
            <w:r w:rsidRPr="008C33CC">
              <w:rPr>
                <w:rFonts w:eastAsia="Calibri" w:cs="Times New Roman"/>
                <w:b/>
                <w:bCs/>
                <w:color w:val="FFFFFF"/>
                <w:szCs w:val="22"/>
                <w:lang w:eastAsia="fr-FR"/>
              </w:rPr>
              <w:t>Leviers utilisés</w:t>
            </w:r>
          </w:p>
        </w:tc>
        <w:tc>
          <w:tcPr>
            <w:tcW w:w="4104" w:type="dxa"/>
            <w:shd w:val="clear" w:color="auto" w:fill="9BBB59"/>
            <w:vAlign w:val="center"/>
          </w:tcPr>
          <w:p w:rsidR="007B47DF" w:rsidRPr="008C33CC" w:rsidRDefault="007B47DF" w:rsidP="00AE2CF7">
            <w:pPr>
              <w:suppressAutoHyphens w:val="0"/>
              <w:spacing w:after="0" w:line="276" w:lineRule="auto"/>
              <w:jc w:val="center"/>
              <w:rPr>
                <w:rFonts w:eastAsia="Calibri" w:cs="Times New Roman"/>
                <w:b/>
                <w:bCs/>
                <w:color w:val="FFFFFF"/>
                <w:szCs w:val="22"/>
                <w:lang w:eastAsia="fr-FR"/>
              </w:rPr>
            </w:pPr>
            <w:r w:rsidRPr="008C33CC">
              <w:rPr>
                <w:rFonts w:eastAsia="Calibri" w:cs="Times New Roman"/>
                <w:b/>
                <w:bCs/>
                <w:color w:val="FFFFFF"/>
                <w:szCs w:val="22"/>
                <w:lang w:eastAsia="fr-FR"/>
              </w:rPr>
              <w:t>Observations</w:t>
            </w:r>
          </w:p>
        </w:tc>
      </w:tr>
      <w:tr w:rsidR="007B47DF" w:rsidRPr="005F070D" w:rsidTr="008C33CC">
        <w:trPr>
          <w:trHeight w:val="565"/>
        </w:trPr>
        <w:tc>
          <w:tcPr>
            <w:tcW w:w="2452" w:type="dxa"/>
            <w:tcBorders>
              <w:top w:val="single" w:sz="8" w:space="0" w:color="9BBB59"/>
              <w:left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b/>
                <w:bCs/>
                <w:szCs w:val="22"/>
                <w:lang w:eastAsia="fr-FR"/>
              </w:rPr>
            </w:pPr>
            <w:r w:rsidRPr="008C33CC">
              <w:rPr>
                <w:rFonts w:eastAsia="Calibri" w:cs="Times New Roman"/>
                <w:b/>
                <w:bCs/>
                <w:szCs w:val="22"/>
                <w:lang w:eastAsia="fr-FR"/>
              </w:rPr>
              <w:t>Puceron</w:t>
            </w:r>
            <w:r w:rsidR="00297310" w:rsidRPr="008C33CC">
              <w:rPr>
                <w:rFonts w:eastAsia="Calibri" w:cs="Times New Roman"/>
                <w:b/>
                <w:bCs/>
                <w:szCs w:val="22"/>
                <w:lang w:eastAsia="fr-FR"/>
              </w:rPr>
              <w:t>s</w:t>
            </w:r>
          </w:p>
        </w:tc>
        <w:tc>
          <w:tcPr>
            <w:tcW w:w="2614" w:type="dxa"/>
            <w:tcBorders>
              <w:top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Service écosystémique</w:t>
            </w:r>
          </w:p>
        </w:tc>
        <w:tc>
          <w:tcPr>
            <w:tcW w:w="4104" w:type="dxa"/>
            <w:tcBorders>
              <w:top w:val="single" w:sz="8" w:space="0" w:color="9BBB59"/>
              <w:bottom w:val="single" w:sz="8" w:space="0" w:color="9BBB59"/>
              <w:right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Parasitoïd</w:t>
            </w:r>
            <w:r w:rsidR="00834264" w:rsidRPr="008C33CC">
              <w:rPr>
                <w:rFonts w:eastAsia="Calibri" w:cs="Times New Roman"/>
                <w:szCs w:val="22"/>
                <w:lang w:eastAsia="fr-FR"/>
              </w:rPr>
              <w:t>es hyménoptères et  prédateurs C</w:t>
            </w:r>
            <w:r w:rsidRPr="008C33CC">
              <w:rPr>
                <w:rFonts w:eastAsia="Calibri" w:cs="Times New Roman"/>
                <w:szCs w:val="22"/>
                <w:lang w:eastAsia="fr-FR"/>
              </w:rPr>
              <w:t xml:space="preserve">occinellidae </w:t>
            </w:r>
          </w:p>
        </w:tc>
      </w:tr>
      <w:tr w:rsidR="007B47DF" w:rsidRPr="005F070D" w:rsidTr="008C33CC">
        <w:trPr>
          <w:trHeight w:val="189"/>
        </w:trPr>
        <w:tc>
          <w:tcPr>
            <w:tcW w:w="2452" w:type="dxa"/>
            <w:shd w:val="clear" w:color="auto" w:fill="auto"/>
            <w:vAlign w:val="center"/>
          </w:tcPr>
          <w:p w:rsidR="007B47DF" w:rsidRPr="008C33CC" w:rsidRDefault="00AC42AF" w:rsidP="00AE2CF7">
            <w:pPr>
              <w:suppressAutoHyphens w:val="0"/>
              <w:spacing w:after="0" w:line="276" w:lineRule="auto"/>
              <w:jc w:val="center"/>
              <w:rPr>
                <w:rFonts w:eastAsia="Calibri" w:cs="Times New Roman"/>
                <w:b/>
                <w:bCs/>
                <w:szCs w:val="22"/>
                <w:lang w:eastAsia="fr-FR"/>
              </w:rPr>
            </w:pPr>
            <w:r w:rsidRPr="008C33CC">
              <w:rPr>
                <w:rFonts w:eastAsia="Calibri" w:cs="Times New Roman"/>
                <w:b/>
                <w:bCs/>
                <w:szCs w:val="22"/>
                <w:lang w:eastAsia="fr-FR"/>
              </w:rPr>
              <w:t>Cératite</w:t>
            </w:r>
          </w:p>
        </w:tc>
        <w:tc>
          <w:tcPr>
            <w:tcW w:w="261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Piégeage massif</w:t>
            </w:r>
          </w:p>
        </w:tc>
        <w:tc>
          <w:tcPr>
            <w:tcW w:w="410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Decis</w:t>
            </w:r>
            <w:r w:rsidR="006F6EB5" w:rsidRPr="008C33CC">
              <w:rPr>
                <w:rFonts w:eastAsia="Calibri" w:cs="Times New Roman"/>
                <w:szCs w:val="22"/>
                <w:lang w:eastAsia="fr-FR"/>
              </w:rPr>
              <w:t>-T</w:t>
            </w:r>
            <w:r w:rsidRPr="008C33CC">
              <w:rPr>
                <w:rFonts w:eastAsia="Calibri" w:cs="Times New Roman"/>
                <w:szCs w:val="22"/>
                <w:lang w:eastAsia="fr-FR"/>
              </w:rPr>
              <w:t>rap 80 pièges/ha</w:t>
            </w:r>
          </w:p>
        </w:tc>
      </w:tr>
      <w:tr w:rsidR="007B47DF" w:rsidRPr="005F070D" w:rsidTr="008C33CC">
        <w:trPr>
          <w:trHeight w:val="377"/>
        </w:trPr>
        <w:tc>
          <w:tcPr>
            <w:tcW w:w="2452" w:type="dxa"/>
            <w:tcBorders>
              <w:top w:val="single" w:sz="8" w:space="0" w:color="9BBB59"/>
              <w:left w:val="single" w:sz="8" w:space="0" w:color="9BBB59"/>
              <w:bottom w:val="single" w:sz="8" w:space="0" w:color="9BBB59"/>
            </w:tcBorders>
            <w:shd w:val="clear" w:color="auto" w:fill="auto"/>
            <w:vAlign w:val="center"/>
          </w:tcPr>
          <w:p w:rsidR="007B47DF" w:rsidRPr="008C33CC" w:rsidRDefault="00276050"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i/>
                <w:szCs w:val="22"/>
                <w:lang w:eastAsia="fr-FR"/>
              </w:rPr>
              <w:t>Ceroplastes sinensis</w:t>
            </w:r>
          </w:p>
        </w:tc>
        <w:tc>
          <w:tcPr>
            <w:tcW w:w="2614" w:type="dxa"/>
            <w:tcBorders>
              <w:top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huile blanche</w:t>
            </w:r>
          </w:p>
        </w:tc>
        <w:tc>
          <w:tcPr>
            <w:tcW w:w="4104" w:type="dxa"/>
            <w:tcBorders>
              <w:top w:val="single" w:sz="8" w:space="0" w:color="9BBB59"/>
              <w:bottom w:val="single" w:sz="8" w:space="0" w:color="9BBB59"/>
              <w:right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 xml:space="preserve">Complété par l’action d’un parasitoïde Pteromalidae </w:t>
            </w:r>
            <w:r w:rsidRPr="008C33CC">
              <w:rPr>
                <w:rFonts w:eastAsia="Calibri" w:cs="Times New Roman"/>
                <w:i/>
                <w:szCs w:val="22"/>
                <w:lang w:eastAsia="fr-FR"/>
              </w:rPr>
              <w:t>Scutellista cyanea</w:t>
            </w:r>
          </w:p>
        </w:tc>
      </w:tr>
      <w:tr w:rsidR="007B47DF" w:rsidRPr="005F070D" w:rsidTr="008C33CC">
        <w:trPr>
          <w:trHeight w:val="377"/>
        </w:trPr>
        <w:tc>
          <w:tcPr>
            <w:tcW w:w="2452" w:type="dxa"/>
            <w:shd w:val="clear" w:color="auto" w:fill="auto"/>
            <w:vAlign w:val="center"/>
          </w:tcPr>
          <w:p w:rsidR="007B47DF" w:rsidRPr="008C33CC" w:rsidRDefault="00276050"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i/>
                <w:szCs w:val="22"/>
                <w:lang w:eastAsia="fr-FR"/>
              </w:rPr>
              <w:t>Aonidiella aurantii</w:t>
            </w:r>
          </w:p>
        </w:tc>
        <w:tc>
          <w:tcPr>
            <w:tcW w:w="261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Lutte biologique par lâchers inondatifs</w:t>
            </w:r>
          </w:p>
        </w:tc>
        <w:tc>
          <w:tcPr>
            <w:tcW w:w="410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 xml:space="preserve">Lâcher </w:t>
            </w:r>
            <w:r w:rsidRPr="008C33CC">
              <w:rPr>
                <w:rFonts w:eastAsia="Calibri" w:cs="Times New Roman"/>
                <w:i/>
                <w:szCs w:val="22"/>
                <w:lang w:eastAsia="fr-FR"/>
              </w:rPr>
              <w:t>d’Aphytis melinus</w:t>
            </w:r>
            <w:r w:rsidRPr="008C33CC">
              <w:rPr>
                <w:rFonts w:eastAsia="Calibri" w:cs="Times New Roman"/>
                <w:szCs w:val="22"/>
                <w:lang w:eastAsia="fr-FR"/>
              </w:rPr>
              <w:t>,</w:t>
            </w:r>
          </w:p>
          <w:p w:rsidR="00216099" w:rsidRPr="008C33CC" w:rsidRDefault="00216099"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100 000/ha</w:t>
            </w:r>
          </w:p>
        </w:tc>
      </w:tr>
      <w:tr w:rsidR="007B47DF" w:rsidRPr="005F070D" w:rsidTr="008C33CC">
        <w:trPr>
          <w:trHeight w:val="377"/>
        </w:trPr>
        <w:tc>
          <w:tcPr>
            <w:tcW w:w="2452" w:type="dxa"/>
            <w:tcBorders>
              <w:top w:val="single" w:sz="8" w:space="0" w:color="9BBB59"/>
              <w:left w:val="single" w:sz="8" w:space="0" w:color="9BBB59"/>
              <w:bottom w:val="single" w:sz="8" w:space="0" w:color="9BBB59"/>
            </w:tcBorders>
            <w:shd w:val="clear" w:color="auto" w:fill="auto"/>
            <w:vAlign w:val="center"/>
          </w:tcPr>
          <w:p w:rsidR="007B47DF" w:rsidRPr="008C33CC" w:rsidRDefault="00276050"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i/>
                <w:szCs w:val="22"/>
                <w:lang w:eastAsia="fr-FR"/>
              </w:rPr>
              <w:t>Coccus hesperidum</w:t>
            </w:r>
          </w:p>
        </w:tc>
        <w:tc>
          <w:tcPr>
            <w:tcW w:w="2614" w:type="dxa"/>
            <w:tcBorders>
              <w:top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Service écosystémique</w:t>
            </w:r>
          </w:p>
        </w:tc>
        <w:tc>
          <w:tcPr>
            <w:tcW w:w="4104" w:type="dxa"/>
            <w:tcBorders>
              <w:top w:val="single" w:sz="8" w:space="0" w:color="9BBB59"/>
              <w:bottom w:val="single" w:sz="8" w:space="0" w:color="9BBB59"/>
              <w:right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Parasitoïde</w:t>
            </w:r>
            <w:r w:rsidR="008E0CEB" w:rsidRPr="008C33CC">
              <w:rPr>
                <w:rFonts w:eastAsia="Calibri" w:cs="Times New Roman"/>
                <w:szCs w:val="22"/>
                <w:lang w:eastAsia="fr-FR"/>
              </w:rPr>
              <w:t>s</w:t>
            </w:r>
            <w:r w:rsidRPr="008C33CC">
              <w:rPr>
                <w:rFonts w:eastAsia="Calibri" w:cs="Times New Roman"/>
                <w:szCs w:val="22"/>
                <w:lang w:eastAsia="fr-FR"/>
              </w:rPr>
              <w:t xml:space="preserve"> hyménoptère</w:t>
            </w:r>
            <w:r w:rsidR="008E0CEB" w:rsidRPr="008C33CC">
              <w:rPr>
                <w:rFonts w:eastAsia="Calibri" w:cs="Times New Roman"/>
                <w:szCs w:val="22"/>
                <w:lang w:eastAsia="fr-FR"/>
              </w:rPr>
              <w:t>s</w:t>
            </w:r>
            <w:r w:rsidRPr="008C33CC">
              <w:rPr>
                <w:rFonts w:eastAsia="Calibri" w:cs="Times New Roman"/>
                <w:szCs w:val="22"/>
                <w:lang w:eastAsia="fr-FR"/>
              </w:rPr>
              <w:t xml:space="preserve"> de la famille des Encyrtidae</w:t>
            </w:r>
          </w:p>
        </w:tc>
      </w:tr>
      <w:tr w:rsidR="007B47DF" w:rsidRPr="005F070D" w:rsidTr="008C33CC">
        <w:trPr>
          <w:trHeight w:val="377"/>
        </w:trPr>
        <w:tc>
          <w:tcPr>
            <w:tcW w:w="2452" w:type="dxa"/>
            <w:shd w:val="clear" w:color="auto" w:fill="auto"/>
            <w:vAlign w:val="center"/>
          </w:tcPr>
          <w:p w:rsidR="007B47DF" w:rsidRPr="008C33CC" w:rsidRDefault="00276050"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i/>
                <w:szCs w:val="22"/>
                <w:lang w:eastAsia="fr-FR"/>
              </w:rPr>
              <w:t>Saissetia oleae</w:t>
            </w:r>
          </w:p>
        </w:tc>
        <w:tc>
          <w:tcPr>
            <w:tcW w:w="261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Service écosystémique</w:t>
            </w:r>
          </w:p>
        </w:tc>
        <w:tc>
          <w:tcPr>
            <w:tcW w:w="410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Parasitoïde</w:t>
            </w:r>
            <w:r w:rsidR="008E0CEB" w:rsidRPr="008C33CC">
              <w:rPr>
                <w:rFonts w:eastAsia="Calibri" w:cs="Times New Roman"/>
                <w:szCs w:val="22"/>
                <w:lang w:eastAsia="fr-FR"/>
              </w:rPr>
              <w:t>s</w:t>
            </w:r>
            <w:r w:rsidR="004F1EBC" w:rsidRPr="008C33CC">
              <w:rPr>
                <w:rFonts w:eastAsia="Calibri" w:cs="Times New Roman"/>
                <w:szCs w:val="22"/>
                <w:lang w:eastAsia="fr-FR"/>
              </w:rPr>
              <w:t xml:space="preserve"> h</w:t>
            </w:r>
            <w:r w:rsidRPr="008C33CC">
              <w:rPr>
                <w:rFonts w:eastAsia="Calibri" w:cs="Times New Roman"/>
                <w:szCs w:val="22"/>
                <w:lang w:eastAsia="fr-FR"/>
              </w:rPr>
              <w:t>yméno</w:t>
            </w:r>
            <w:r w:rsidR="001821A3" w:rsidRPr="008C33CC">
              <w:rPr>
                <w:rFonts w:eastAsia="Calibri" w:cs="Times New Roman"/>
                <w:szCs w:val="22"/>
                <w:lang w:eastAsia="fr-FR"/>
              </w:rPr>
              <w:t>ptère</w:t>
            </w:r>
            <w:r w:rsidR="004F1EBC" w:rsidRPr="008C33CC">
              <w:rPr>
                <w:rFonts w:eastAsia="Calibri" w:cs="Times New Roman"/>
                <w:szCs w:val="22"/>
                <w:lang w:eastAsia="fr-FR"/>
              </w:rPr>
              <w:t>s</w:t>
            </w:r>
            <w:r w:rsidR="001821A3" w:rsidRPr="008C33CC">
              <w:rPr>
                <w:rFonts w:eastAsia="Calibri" w:cs="Times New Roman"/>
                <w:szCs w:val="22"/>
                <w:lang w:eastAsia="fr-FR"/>
              </w:rPr>
              <w:t xml:space="preserve"> Encyrtidae et prédateurs C</w:t>
            </w:r>
            <w:r w:rsidRPr="008C33CC">
              <w:rPr>
                <w:rFonts w:eastAsia="Calibri" w:cs="Times New Roman"/>
                <w:szCs w:val="22"/>
                <w:lang w:eastAsia="fr-FR"/>
              </w:rPr>
              <w:t>occinellidae</w:t>
            </w:r>
          </w:p>
        </w:tc>
      </w:tr>
      <w:tr w:rsidR="007B47DF" w:rsidRPr="005F070D" w:rsidTr="008C33CC">
        <w:trPr>
          <w:trHeight w:val="565"/>
        </w:trPr>
        <w:tc>
          <w:tcPr>
            <w:tcW w:w="2452" w:type="dxa"/>
            <w:tcBorders>
              <w:top w:val="single" w:sz="8" w:space="0" w:color="9BBB59"/>
              <w:left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b/>
                <w:bCs/>
                <w:szCs w:val="22"/>
                <w:lang w:eastAsia="fr-FR"/>
              </w:rPr>
            </w:pPr>
            <w:r w:rsidRPr="008C33CC">
              <w:rPr>
                <w:rFonts w:eastAsia="Calibri" w:cs="Times New Roman"/>
                <w:b/>
                <w:bCs/>
                <w:szCs w:val="22"/>
                <w:lang w:eastAsia="fr-FR"/>
              </w:rPr>
              <w:t>Acarien</w:t>
            </w:r>
            <w:r w:rsidR="00297310" w:rsidRPr="008C33CC">
              <w:rPr>
                <w:rFonts w:eastAsia="Calibri" w:cs="Times New Roman"/>
                <w:b/>
                <w:bCs/>
                <w:szCs w:val="22"/>
                <w:lang w:eastAsia="fr-FR"/>
              </w:rPr>
              <w:t>s</w:t>
            </w:r>
          </w:p>
        </w:tc>
        <w:tc>
          <w:tcPr>
            <w:tcW w:w="2614" w:type="dxa"/>
            <w:tcBorders>
              <w:top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Service écosystémique</w:t>
            </w:r>
          </w:p>
        </w:tc>
        <w:tc>
          <w:tcPr>
            <w:tcW w:w="4104" w:type="dxa"/>
            <w:tcBorders>
              <w:top w:val="single" w:sz="8" w:space="0" w:color="9BBB59"/>
              <w:bottom w:val="single" w:sz="8" w:space="0" w:color="9BBB59"/>
              <w:right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Acariens prédateurs typhlodromes (inventaire faunistique réalisé en parallèle)</w:t>
            </w:r>
          </w:p>
        </w:tc>
      </w:tr>
      <w:tr w:rsidR="007B47DF" w:rsidRPr="005F070D" w:rsidTr="008C33CC">
        <w:trPr>
          <w:trHeight w:val="377"/>
        </w:trPr>
        <w:tc>
          <w:tcPr>
            <w:tcW w:w="2452"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b/>
                <w:bCs/>
                <w:szCs w:val="22"/>
                <w:lang w:eastAsia="fr-FR"/>
              </w:rPr>
            </w:pPr>
            <w:r w:rsidRPr="008C33CC">
              <w:rPr>
                <w:rFonts w:eastAsia="Calibri" w:cs="Times New Roman"/>
                <w:b/>
                <w:bCs/>
                <w:szCs w:val="22"/>
                <w:lang w:eastAsia="fr-FR"/>
              </w:rPr>
              <w:t>Aleurode floconneux</w:t>
            </w:r>
          </w:p>
        </w:tc>
        <w:tc>
          <w:tcPr>
            <w:tcW w:w="2614" w:type="dxa"/>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Service écosystémique</w:t>
            </w:r>
          </w:p>
        </w:tc>
        <w:tc>
          <w:tcPr>
            <w:tcW w:w="4104" w:type="dxa"/>
            <w:shd w:val="clear" w:color="auto" w:fill="auto"/>
            <w:vAlign w:val="center"/>
          </w:tcPr>
          <w:p w:rsidR="00625A55"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Parasitoïde</w:t>
            </w:r>
            <w:r w:rsidR="008E0CEB" w:rsidRPr="008C33CC">
              <w:rPr>
                <w:rFonts w:eastAsia="Calibri" w:cs="Times New Roman"/>
                <w:szCs w:val="22"/>
                <w:lang w:eastAsia="fr-FR"/>
              </w:rPr>
              <w:t>s</w:t>
            </w:r>
            <w:r w:rsidRPr="008C33CC">
              <w:rPr>
                <w:rFonts w:eastAsia="Calibri" w:cs="Times New Roman"/>
                <w:szCs w:val="22"/>
                <w:lang w:eastAsia="fr-FR"/>
              </w:rPr>
              <w:t xml:space="preserve"> hyménoptère</w:t>
            </w:r>
            <w:r w:rsidR="008E0CEB" w:rsidRPr="008C33CC">
              <w:rPr>
                <w:rFonts w:eastAsia="Calibri" w:cs="Times New Roman"/>
                <w:szCs w:val="22"/>
                <w:lang w:eastAsia="fr-FR"/>
              </w:rPr>
              <w:t>s</w:t>
            </w:r>
            <w:r w:rsidRPr="008C33CC">
              <w:rPr>
                <w:rFonts w:eastAsia="Calibri" w:cs="Times New Roman"/>
                <w:szCs w:val="22"/>
                <w:lang w:eastAsia="fr-FR"/>
              </w:rPr>
              <w:t xml:space="preserve"> Aphelinidae </w:t>
            </w:r>
          </w:p>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i/>
                <w:szCs w:val="22"/>
                <w:lang w:eastAsia="fr-FR"/>
              </w:rPr>
              <w:t>Cales noacki</w:t>
            </w:r>
          </w:p>
        </w:tc>
      </w:tr>
      <w:tr w:rsidR="007B47DF" w:rsidRPr="005F070D" w:rsidTr="008C33CC">
        <w:trPr>
          <w:trHeight w:val="200"/>
        </w:trPr>
        <w:tc>
          <w:tcPr>
            <w:tcW w:w="2452" w:type="dxa"/>
            <w:tcBorders>
              <w:top w:val="single" w:sz="8" w:space="0" w:color="9BBB59"/>
              <w:left w:val="single" w:sz="8" w:space="0" w:color="9BBB59"/>
              <w:bottom w:val="single" w:sz="8" w:space="0" w:color="9BBB59"/>
            </w:tcBorders>
            <w:shd w:val="clear" w:color="auto" w:fill="auto"/>
            <w:vAlign w:val="center"/>
          </w:tcPr>
          <w:p w:rsidR="007B47DF" w:rsidRPr="008C33CC" w:rsidRDefault="00276050"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i/>
                <w:szCs w:val="22"/>
                <w:lang w:eastAsia="fr-FR"/>
              </w:rPr>
              <w:t>Icerya purchasi</w:t>
            </w:r>
          </w:p>
        </w:tc>
        <w:tc>
          <w:tcPr>
            <w:tcW w:w="2614" w:type="dxa"/>
            <w:tcBorders>
              <w:top w:val="single" w:sz="8" w:space="0" w:color="9BBB59"/>
              <w:bottom w:val="single" w:sz="8" w:space="0" w:color="9BBB59"/>
            </w:tcBorders>
            <w:shd w:val="clear" w:color="auto" w:fill="auto"/>
            <w:vAlign w:val="center"/>
          </w:tcPr>
          <w:p w:rsidR="007B47DF" w:rsidRPr="008C33CC" w:rsidRDefault="007B47DF"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Service écosystémique</w:t>
            </w:r>
          </w:p>
        </w:tc>
        <w:tc>
          <w:tcPr>
            <w:tcW w:w="4104" w:type="dxa"/>
            <w:tcBorders>
              <w:top w:val="single" w:sz="8" w:space="0" w:color="9BBB59"/>
              <w:bottom w:val="single" w:sz="8" w:space="0" w:color="9BBB59"/>
              <w:right w:val="single" w:sz="8" w:space="0" w:color="9BBB59"/>
            </w:tcBorders>
            <w:shd w:val="clear" w:color="auto" w:fill="auto"/>
            <w:vAlign w:val="center"/>
          </w:tcPr>
          <w:p w:rsidR="007B47DF" w:rsidRPr="008C33CC" w:rsidRDefault="006F6EB5" w:rsidP="00AE2CF7">
            <w:pPr>
              <w:suppressAutoHyphens w:val="0"/>
              <w:spacing w:after="0" w:line="276" w:lineRule="auto"/>
              <w:jc w:val="center"/>
              <w:rPr>
                <w:rFonts w:eastAsia="Calibri" w:cs="Times New Roman"/>
                <w:i/>
                <w:szCs w:val="22"/>
                <w:lang w:eastAsia="fr-FR"/>
              </w:rPr>
            </w:pPr>
            <w:r w:rsidRPr="008C33CC">
              <w:rPr>
                <w:rFonts w:eastAsia="Calibri" w:cs="Times New Roman"/>
                <w:szCs w:val="22"/>
                <w:lang w:eastAsia="fr-FR"/>
              </w:rPr>
              <w:t>C</w:t>
            </w:r>
            <w:r w:rsidR="007B47DF" w:rsidRPr="008C33CC">
              <w:rPr>
                <w:rFonts w:eastAsia="Calibri" w:cs="Times New Roman"/>
                <w:szCs w:val="22"/>
                <w:lang w:eastAsia="fr-FR"/>
              </w:rPr>
              <w:t>occinelle</w:t>
            </w:r>
            <w:r w:rsidR="008E0CEB" w:rsidRPr="008C33CC">
              <w:rPr>
                <w:rFonts w:eastAsia="Calibri" w:cs="Times New Roman"/>
                <w:szCs w:val="22"/>
                <w:lang w:eastAsia="fr-FR"/>
              </w:rPr>
              <w:t>s</w:t>
            </w:r>
            <w:r w:rsidR="007B47DF" w:rsidRPr="008C33CC">
              <w:rPr>
                <w:rFonts w:eastAsia="Calibri" w:cs="Times New Roman"/>
                <w:szCs w:val="22"/>
                <w:lang w:eastAsia="fr-FR"/>
              </w:rPr>
              <w:t xml:space="preserve"> </w:t>
            </w:r>
            <w:r w:rsidR="00216099" w:rsidRPr="008C33CC">
              <w:rPr>
                <w:rFonts w:eastAsia="Calibri" w:cs="Times New Roman"/>
                <w:i/>
                <w:szCs w:val="22"/>
                <w:lang w:eastAsia="fr-FR"/>
              </w:rPr>
              <w:t>Rodolia</w:t>
            </w:r>
            <w:r w:rsidR="007B47DF" w:rsidRPr="008C33CC">
              <w:rPr>
                <w:rFonts w:eastAsia="Calibri" w:cs="Times New Roman"/>
                <w:i/>
                <w:szCs w:val="22"/>
                <w:lang w:eastAsia="fr-FR"/>
              </w:rPr>
              <w:t xml:space="preserve"> cardinalis</w:t>
            </w:r>
          </w:p>
        </w:tc>
      </w:tr>
      <w:tr w:rsidR="007B47DF" w:rsidRPr="005F070D" w:rsidTr="00AC03C8">
        <w:trPr>
          <w:trHeight w:val="189"/>
        </w:trPr>
        <w:tc>
          <w:tcPr>
            <w:tcW w:w="2452" w:type="dxa"/>
            <w:tcBorders>
              <w:bottom w:val="single" w:sz="8" w:space="0" w:color="9BBB59"/>
            </w:tcBorders>
            <w:shd w:val="clear" w:color="auto" w:fill="auto"/>
            <w:vAlign w:val="center"/>
          </w:tcPr>
          <w:p w:rsidR="007B47DF" w:rsidRPr="00AC03C8" w:rsidRDefault="00AC03C8" w:rsidP="00AE2CF7">
            <w:pPr>
              <w:suppressAutoHyphens w:val="0"/>
              <w:spacing w:after="0" w:line="276" w:lineRule="auto"/>
              <w:jc w:val="center"/>
              <w:rPr>
                <w:rFonts w:eastAsia="Calibri" w:cs="Times New Roman"/>
                <w:b/>
                <w:bCs/>
                <w:szCs w:val="22"/>
                <w:lang w:eastAsia="fr-FR"/>
              </w:rPr>
            </w:pPr>
            <w:r w:rsidRPr="00AC03C8">
              <w:rPr>
                <w:rFonts w:eastAsia="Calibri" w:cs="Times New Roman"/>
                <w:b/>
                <w:bCs/>
                <w:szCs w:val="22"/>
                <w:lang w:eastAsia="fr-FR"/>
              </w:rPr>
              <w:t>Tous ravageurs</w:t>
            </w:r>
          </w:p>
        </w:tc>
        <w:tc>
          <w:tcPr>
            <w:tcW w:w="2614" w:type="dxa"/>
            <w:tcBorders>
              <w:bottom w:val="single" w:sz="8" w:space="0" w:color="9BBB59"/>
            </w:tcBorders>
            <w:shd w:val="clear" w:color="auto" w:fill="auto"/>
            <w:vAlign w:val="center"/>
          </w:tcPr>
          <w:p w:rsidR="007B47DF" w:rsidRPr="00AC03C8" w:rsidRDefault="007B47DF" w:rsidP="00AE2CF7">
            <w:pPr>
              <w:suppressAutoHyphens w:val="0"/>
              <w:spacing w:after="0" w:line="276" w:lineRule="auto"/>
              <w:jc w:val="center"/>
              <w:rPr>
                <w:rFonts w:eastAsia="Calibri" w:cs="Times New Roman"/>
                <w:szCs w:val="22"/>
                <w:lang w:eastAsia="fr-FR"/>
              </w:rPr>
            </w:pPr>
            <w:r w:rsidRPr="00AC03C8">
              <w:rPr>
                <w:rFonts w:eastAsia="Calibri" w:cs="Times New Roman"/>
                <w:szCs w:val="22"/>
                <w:lang w:eastAsia="fr-FR"/>
              </w:rPr>
              <w:t>Nichoirs à mésange</w:t>
            </w:r>
            <w:r w:rsidR="00772591" w:rsidRPr="00AC03C8">
              <w:rPr>
                <w:rFonts w:eastAsia="Calibri" w:cs="Times New Roman"/>
                <w:szCs w:val="22"/>
                <w:lang w:eastAsia="fr-FR"/>
              </w:rPr>
              <w:t>s</w:t>
            </w:r>
          </w:p>
          <w:p w:rsidR="004E27D0" w:rsidRPr="00AC03C8" w:rsidRDefault="004E27D0" w:rsidP="00AE2CF7">
            <w:pPr>
              <w:suppressAutoHyphens w:val="0"/>
              <w:spacing w:after="0" w:line="276" w:lineRule="auto"/>
              <w:jc w:val="center"/>
              <w:rPr>
                <w:rFonts w:eastAsia="Calibri" w:cs="Times New Roman"/>
                <w:szCs w:val="22"/>
                <w:lang w:eastAsia="fr-FR"/>
              </w:rPr>
            </w:pPr>
            <w:r w:rsidRPr="00AC03C8">
              <w:rPr>
                <w:rFonts w:eastAsia="Calibri" w:cs="Times New Roman"/>
                <w:szCs w:val="22"/>
                <w:lang w:eastAsia="fr-FR"/>
              </w:rPr>
              <w:t>Nichoirs à forficules</w:t>
            </w:r>
          </w:p>
        </w:tc>
        <w:tc>
          <w:tcPr>
            <w:tcW w:w="4104" w:type="dxa"/>
            <w:tcBorders>
              <w:bottom w:val="single" w:sz="8" w:space="0" w:color="9BBB59"/>
            </w:tcBorders>
            <w:shd w:val="clear" w:color="auto" w:fill="auto"/>
            <w:vAlign w:val="center"/>
          </w:tcPr>
          <w:p w:rsidR="007B47DF" w:rsidRPr="00AC03C8" w:rsidRDefault="004E27D0" w:rsidP="00AE2CF7">
            <w:pPr>
              <w:suppressAutoHyphens w:val="0"/>
              <w:spacing w:after="0" w:line="276" w:lineRule="auto"/>
              <w:jc w:val="center"/>
              <w:rPr>
                <w:rFonts w:eastAsia="Calibri" w:cs="Times New Roman"/>
                <w:szCs w:val="22"/>
                <w:lang w:eastAsia="fr-FR"/>
              </w:rPr>
            </w:pPr>
            <w:r w:rsidRPr="00AC03C8">
              <w:rPr>
                <w:rFonts w:eastAsia="Calibri" w:cs="Times New Roman"/>
                <w:szCs w:val="22"/>
                <w:lang w:eastAsia="fr-FR"/>
              </w:rPr>
              <w:t>2 nichoirs/</w:t>
            </w:r>
            <w:r w:rsidR="007B47DF" w:rsidRPr="00AC03C8">
              <w:rPr>
                <w:rFonts w:eastAsia="Calibri" w:cs="Times New Roman"/>
                <w:szCs w:val="22"/>
                <w:lang w:eastAsia="fr-FR"/>
              </w:rPr>
              <w:t>modalité</w:t>
            </w:r>
          </w:p>
          <w:p w:rsidR="004E27D0" w:rsidRPr="00AC03C8" w:rsidRDefault="004E27D0" w:rsidP="00AE2CF7">
            <w:pPr>
              <w:suppressAutoHyphens w:val="0"/>
              <w:spacing w:after="0" w:line="276" w:lineRule="auto"/>
              <w:jc w:val="center"/>
              <w:rPr>
                <w:rFonts w:eastAsia="Calibri" w:cs="Times New Roman"/>
                <w:szCs w:val="22"/>
                <w:lang w:eastAsia="fr-FR"/>
              </w:rPr>
            </w:pPr>
            <w:r w:rsidRPr="00AC03C8">
              <w:rPr>
                <w:rFonts w:eastAsia="Calibri" w:cs="Times New Roman"/>
                <w:szCs w:val="22"/>
                <w:lang w:eastAsia="fr-FR"/>
              </w:rPr>
              <w:t>1 nichoir/arbre</w:t>
            </w:r>
            <w:r w:rsidR="00081F59" w:rsidRPr="00AC03C8">
              <w:rPr>
                <w:rFonts w:eastAsia="Calibri" w:cs="Times New Roman"/>
                <w:szCs w:val="22"/>
                <w:lang w:eastAsia="fr-FR"/>
              </w:rPr>
              <w:t xml:space="preserve"> (SdC 2 SRA 92)</w:t>
            </w:r>
          </w:p>
        </w:tc>
      </w:tr>
      <w:tr w:rsidR="00AC03C8" w:rsidRPr="005F070D" w:rsidTr="00AC03C8">
        <w:trPr>
          <w:trHeight w:val="189"/>
        </w:trPr>
        <w:tc>
          <w:tcPr>
            <w:tcW w:w="2452" w:type="dxa"/>
            <w:tcBorders>
              <w:top w:val="single" w:sz="8" w:space="0" w:color="9BBB59"/>
              <w:bottom w:val="single" w:sz="8" w:space="0" w:color="9BBB59"/>
            </w:tcBorders>
            <w:shd w:val="clear" w:color="auto" w:fill="auto"/>
            <w:vAlign w:val="center"/>
          </w:tcPr>
          <w:p w:rsidR="00AC03C8" w:rsidRPr="008C33CC" w:rsidRDefault="00AC03C8"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szCs w:val="22"/>
                <w:lang w:eastAsia="fr-FR"/>
              </w:rPr>
              <w:t>Adventices</w:t>
            </w:r>
          </w:p>
        </w:tc>
        <w:tc>
          <w:tcPr>
            <w:tcW w:w="2614" w:type="dxa"/>
            <w:tcBorders>
              <w:top w:val="single" w:sz="8" w:space="0" w:color="9BBB59"/>
              <w:bottom w:val="single" w:sz="8" w:space="0" w:color="9BBB59"/>
            </w:tcBorders>
            <w:shd w:val="clear" w:color="auto" w:fill="auto"/>
            <w:vAlign w:val="center"/>
          </w:tcPr>
          <w:p w:rsidR="00AC03C8" w:rsidRPr="00AC03C8" w:rsidRDefault="00AC03C8" w:rsidP="00AE2CF7">
            <w:pPr>
              <w:suppressAutoHyphens w:val="0"/>
              <w:spacing w:after="0" w:line="276" w:lineRule="auto"/>
              <w:jc w:val="center"/>
              <w:rPr>
                <w:rFonts w:eastAsia="Calibri" w:cs="Times New Roman"/>
                <w:szCs w:val="22"/>
                <w:lang w:eastAsia="fr-FR"/>
              </w:rPr>
            </w:pPr>
            <w:r w:rsidRPr="00AC03C8">
              <w:rPr>
                <w:rFonts w:eastAsia="Calibri" w:cs="Times New Roman"/>
                <w:szCs w:val="22"/>
                <w:lang w:eastAsia="fr-FR"/>
              </w:rPr>
              <w:t>Désherbage mécanique/ réduction de la zone traitée</w:t>
            </w:r>
          </w:p>
        </w:tc>
        <w:tc>
          <w:tcPr>
            <w:tcW w:w="4104" w:type="dxa"/>
            <w:tcBorders>
              <w:top w:val="single" w:sz="8" w:space="0" w:color="9BBB59"/>
              <w:bottom w:val="single" w:sz="8" w:space="0" w:color="9BBB59"/>
            </w:tcBorders>
            <w:shd w:val="clear" w:color="auto" w:fill="auto"/>
            <w:vAlign w:val="center"/>
          </w:tcPr>
          <w:p w:rsidR="00AC03C8" w:rsidRPr="00AC03C8" w:rsidRDefault="00AC03C8" w:rsidP="00AE2CF7">
            <w:pPr>
              <w:suppressAutoHyphens w:val="0"/>
              <w:spacing w:after="0" w:line="276" w:lineRule="auto"/>
              <w:jc w:val="center"/>
              <w:rPr>
                <w:rFonts w:eastAsia="Calibri" w:cs="Times New Roman"/>
                <w:szCs w:val="22"/>
                <w:lang w:eastAsia="fr-FR"/>
              </w:rPr>
            </w:pPr>
            <w:r w:rsidRPr="00AC03C8">
              <w:rPr>
                <w:rFonts w:eastAsia="Calibri" w:cs="Times New Roman"/>
                <w:szCs w:val="22"/>
                <w:lang w:eastAsia="fr-FR"/>
              </w:rPr>
              <w:t>Réduction de la zone traitée</w:t>
            </w:r>
          </w:p>
        </w:tc>
      </w:tr>
    </w:tbl>
    <w:p w:rsidR="00B661B4" w:rsidRPr="005F070D" w:rsidRDefault="00B661B4" w:rsidP="00AE2CF7">
      <w:pPr>
        <w:shd w:val="clear" w:color="auto" w:fill="FFFFFF"/>
        <w:suppressAutoHyphens w:val="0"/>
        <w:spacing w:after="0" w:line="276" w:lineRule="auto"/>
        <w:jc w:val="both"/>
        <w:rPr>
          <w:rFonts w:cs="Times New Roman"/>
          <w:sz w:val="24"/>
          <w:lang w:eastAsia="fr-FR"/>
        </w:rPr>
      </w:pPr>
    </w:p>
    <w:p w:rsidR="007B47DF" w:rsidRPr="0080062C" w:rsidRDefault="0080062C" w:rsidP="00AE2CF7">
      <w:pPr>
        <w:shd w:val="clear" w:color="auto" w:fill="FFFFFF"/>
        <w:suppressAutoHyphens w:val="0"/>
        <w:spacing w:after="0" w:line="276" w:lineRule="auto"/>
        <w:jc w:val="both"/>
        <w:rPr>
          <w:rFonts w:cs="Times New Roman"/>
          <w:color w:val="00B050"/>
          <w:szCs w:val="22"/>
          <w:lang w:eastAsia="fr-FR"/>
        </w:rPr>
      </w:pPr>
      <w:r w:rsidRPr="0080062C">
        <w:rPr>
          <w:rFonts w:cs="Times New Roman"/>
          <w:color w:val="00B050"/>
          <w:szCs w:val="22"/>
          <w:lang w:eastAsia="fr-FR"/>
        </w:rPr>
        <w:t>Les</w:t>
      </w:r>
      <w:r w:rsidR="007B47DF" w:rsidRPr="0080062C">
        <w:rPr>
          <w:rFonts w:cs="Times New Roman"/>
          <w:color w:val="00B050"/>
          <w:szCs w:val="22"/>
          <w:lang w:eastAsia="fr-FR"/>
        </w:rPr>
        <w:t xml:space="preserve"> kiwis </w:t>
      </w:r>
    </w:p>
    <w:p w:rsidR="007B47DF" w:rsidRPr="00CE5C78" w:rsidRDefault="007B47DF" w:rsidP="00AE2CF7">
      <w:pPr>
        <w:shd w:val="clear" w:color="auto" w:fill="FFFFFF"/>
        <w:suppressAutoHyphens w:val="0"/>
        <w:spacing w:after="0" w:line="276" w:lineRule="auto"/>
        <w:jc w:val="both"/>
        <w:rPr>
          <w:rFonts w:cs="Times New Roman"/>
          <w:szCs w:val="22"/>
          <w:lang w:eastAsia="fr-FR"/>
        </w:rPr>
      </w:pPr>
    </w:p>
    <w:p w:rsidR="00817D19" w:rsidRPr="00CE5C78" w:rsidRDefault="00817D19" w:rsidP="00AE2CF7">
      <w:pPr>
        <w:shd w:val="clear" w:color="auto" w:fill="FFFFFF"/>
        <w:suppressAutoHyphens w:val="0"/>
        <w:spacing w:after="0" w:line="276" w:lineRule="auto"/>
        <w:jc w:val="both"/>
        <w:rPr>
          <w:rFonts w:cs="Times New Roman"/>
          <w:szCs w:val="22"/>
          <w:lang w:eastAsia="fr-FR"/>
        </w:rPr>
      </w:pPr>
      <w:r w:rsidRPr="00CE5C78">
        <w:rPr>
          <w:rFonts w:cs="Times New Roman"/>
          <w:szCs w:val="22"/>
          <w:lang w:eastAsia="fr-FR"/>
        </w:rPr>
        <w:t xml:space="preserve">Pour le SdC 1, l’enherbement est permanent sur </w:t>
      </w:r>
      <w:r w:rsidR="008151F2" w:rsidRPr="00CE5C78">
        <w:rPr>
          <w:rFonts w:cs="Times New Roman"/>
          <w:szCs w:val="22"/>
          <w:lang w:eastAsia="fr-FR"/>
        </w:rPr>
        <w:t>l’inter-rang</w:t>
      </w:r>
      <w:r w:rsidRPr="00CE5C78">
        <w:rPr>
          <w:rFonts w:cs="Times New Roman"/>
          <w:szCs w:val="22"/>
          <w:lang w:eastAsia="fr-FR"/>
        </w:rPr>
        <w:t xml:space="preserve"> et le désherbage chimique sur le rang. </w:t>
      </w:r>
      <w:r w:rsidR="008151F2" w:rsidRPr="00CE5C78">
        <w:rPr>
          <w:rFonts w:cs="Times New Roman"/>
          <w:szCs w:val="22"/>
          <w:lang w:eastAsia="fr-FR"/>
        </w:rPr>
        <w:t xml:space="preserve">L’itinéraire technique est basé sur l’utilisation des produits phytosanitaires homologués à la dose autorisée. Les traitements sont effectués soit lors d’observations de dégâts </w:t>
      </w:r>
      <w:r w:rsidR="00025310" w:rsidRPr="00CE5C78">
        <w:rPr>
          <w:rFonts w:cs="Times New Roman"/>
          <w:szCs w:val="22"/>
          <w:lang w:eastAsia="fr-FR"/>
        </w:rPr>
        <w:t>au champ</w:t>
      </w:r>
      <w:r w:rsidR="008151F2" w:rsidRPr="00CE5C78">
        <w:rPr>
          <w:rFonts w:cs="Times New Roman"/>
          <w:szCs w:val="22"/>
          <w:lang w:eastAsia="fr-FR"/>
        </w:rPr>
        <w:t xml:space="preserve"> soit </w:t>
      </w:r>
      <w:r w:rsidR="00025310" w:rsidRPr="00CE5C78">
        <w:rPr>
          <w:rFonts w:cs="Times New Roman"/>
          <w:szCs w:val="22"/>
          <w:lang w:eastAsia="fr-FR"/>
        </w:rPr>
        <w:t>à la suite de</w:t>
      </w:r>
      <w:r w:rsidR="00FC2362" w:rsidRPr="00CE5C78">
        <w:rPr>
          <w:rFonts w:cs="Times New Roman"/>
          <w:szCs w:val="22"/>
          <w:lang w:eastAsia="fr-FR"/>
        </w:rPr>
        <w:t>s</w:t>
      </w:r>
      <w:r w:rsidR="00025310" w:rsidRPr="00CE5C78">
        <w:rPr>
          <w:rFonts w:cs="Times New Roman"/>
          <w:szCs w:val="22"/>
          <w:lang w:eastAsia="fr-FR"/>
        </w:rPr>
        <w:t xml:space="preserve"> BSV.</w:t>
      </w:r>
    </w:p>
    <w:p w:rsidR="00625A55" w:rsidRPr="00CE5C78" w:rsidRDefault="00625A55" w:rsidP="00AE2CF7">
      <w:pPr>
        <w:shd w:val="clear" w:color="auto" w:fill="FFFFFF"/>
        <w:suppressAutoHyphens w:val="0"/>
        <w:spacing w:after="0" w:line="276" w:lineRule="auto"/>
        <w:jc w:val="both"/>
        <w:rPr>
          <w:rFonts w:cs="Times New Roman"/>
          <w:szCs w:val="22"/>
          <w:lang w:eastAsia="fr-FR"/>
        </w:rPr>
      </w:pPr>
      <w:r w:rsidRPr="00CE5C78">
        <w:rPr>
          <w:rFonts w:cs="Times New Roman"/>
          <w:szCs w:val="22"/>
          <w:lang w:eastAsia="fr-FR"/>
        </w:rPr>
        <w:t>Dans les SdC 2, l’</w:t>
      </w:r>
      <w:r w:rsidR="008D488E" w:rsidRPr="00CE5C78">
        <w:rPr>
          <w:rFonts w:cs="Times New Roman"/>
          <w:szCs w:val="22"/>
          <w:lang w:eastAsia="fr-FR"/>
        </w:rPr>
        <w:t>enherbement est permanent sur</w:t>
      </w:r>
      <w:r w:rsidRPr="00CE5C78">
        <w:rPr>
          <w:rFonts w:cs="Times New Roman"/>
          <w:szCs w:val="22"/>
          <w:lang w:eastAsia="fr-FR"/>
        </w:rPr>
        <w:t xml:space="preserve"> l’inter-rang et désherbage à la fois chimique avec une réduction de la zone traitée et mécanique sur le rang. La priorité est mise sur l’utilisation de produits de lutte alternative ou homologués en agriculture biologique.</w:t>
      </w:r>
    </w:p>
    <w:p w:rsidR="00670195" w:rsidRPr="00827897" w:rsidRDefault="00625A55" w:rsidP="00AE2CF7">
      <w:pPr>
        <w:shd w:val="clear" w:color="auto" w:fill="FFFFFF"/>
        <w:suppressAutoHyphens w:val="0"/>
        <w:spacing w:after="0" w:line="276" w:lineRule="auto"/>
        <w:jc w:val="both"/>
        <w:rPr>
          <w:rFonts w:cs="Times New Roman"/>
          <w:szCs w:val="22"/>
          <w:lang w:eastAsia="fr-FR"/>
        </w:rPr>
      </w:pPr>
      <w:r w:rsidRPr="00CE5C78">
        <w:rPr>
          <w:rFonts w:cs="Times New Roman"/>
          <w:szCs w:val="22"/>
          <w:lang w:eastAsia="fr-FR"/>
        </w:rPr>
        <w:t>Dans le SdC</w:t>
      </w:r>
      <w:r w:rsidR="00817D19" w:rsidRPr="00CE5C78">
        <w:rPr>
          <w:rFonts w:cs="Times New Roman"/>
          <w:szCs w:val="22"/>
          <w:lang w:eastAsia="fr-FR"/>
        </w:rPr>
        <w:t xml:space="preserve"> 3, l’</w:t>
      </w:r>
      <w:r w:rsidR="00025310" w:rsidRPr="00CE5C78">
        <w:rPr>
          <w:rFonts w:cs="Times New Roman"/>
          <w:szCs w:val="22"/>
          <w:lang w:eastAsia="fr-FR"/>
        </w:rPr>
        <w:t>enherbement est permanent sur l’inter-rang</w:t>
      </w:r>
      <w:r w:rsidR="00817D19" w:rsidRPr="00CE5C78">
        <w:rPr>
          <w:rFonts w:cs="Times New Roman"/>
          <w:szCs w:val="22"/>
          <w:lang w:eastAsia="fr-FR"/>
        </w:rPr>
        <w:t xml:space="preserve"> et le désherbage mécanique sur le rang.</w:t>
      </w:r>
      <w:r w:rsidR="004E27D0" w:rsidRPr="00CE5C78">
        <w:rPr>
          <w:rFonts w:cs="Times New Roman"/>
          <w:szCs w:val="22"/>
          <w:lang w:eastAsia="fr-FR"/>
        </w:rPr>
        <w:t xml:space="preserve"> </w:t>
      </w:r>
      <w:r w:rsidR="00901111" w:rsidRPr="00CE5C78">
        <w:rPr>
          <w:rFonts w:cs="Times New Roman"/>
          <w:szCs w:val="22"/>
          <w:lang w:eastAsia="fr-FR"/>
        </w:rPr>
        <w:t>Seuls les produits homologués en AB sont utilisés dans ce système de culture.</w:t>
      </w:r>
    </w:p>
    <w:p w:rsidR="007B47DF" w:rsidRPr="005F070D" w:rsidRDefault="007B47DF"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2</w:t>
      </w:r>
      <w:r w:rsidR="008F72D3">
        <w:rPr>
          <w:noProof/>
        </w:rPr>
        <w:fldChar w:fldCharType="end"/>
      </w:r>
      <w:r w:rsidRPr="005F070D">
        <w:t xml:space="preserve"> : l</w:t>
      </w:r>
      <w:r w:rsidR="00817D19" w:rsidRPr="005F070D">
        <w:t>iste des leviers utilisés dans les SdC 2 et 3</w:t>
      </w:r>
    </w:p>
    <w:tbl>
      <w:tblPr>
        <w:tblW w:w="9247"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3379"/>
        <w:gridCol w:w="5868"/>
      </w:tblGrid>
      <w:tr w:rsidR="007B47DF" w:rsidRPr="005F070D" w:rsidTr="008C33CC">
        <w:trPr>
          <w:trHeight w:val="318"/>
        </w:trPr>
        <w:tc>
          <w:tcPr>
            <w:tcW w:w="3379" w:type="dxa"/>
            <w:shd w:val="clear" w:color="auto" w:fill="9BBB59"/>
          </w:tcPr>
          <w:p w:rsidR="007B47DF" w:rsidRPr="008C33CC" w:rsidRDefault="007B47DF" w:rsidP="00AE2CF7">
            <w:pPr>
              <w:suppressAutoHyphens w:val="0"/>
              <w:spacing w:after="0" w:line="276" w:lineRule="auto"/>
              <w:jc w:val="center"/>
              <w:rPr>
                <w:rFonts w:eastAsia="Calibri" w:cs="Times New Roman"/>
                <w:b/>
                <w:bCs/>
                <w:color w:val="FFFFFF"/>
                <w:szCs w:val="22"/>
                <w:lang w:eastAsia="fr-FR"/>
              </w:rPr>
            </w:pPr>
            <w:r w:rsidRPr="008C33CC">
              <w:rPr>
                <w:rFonts w:eastAsia="Calibri" w:cs="Times New Roman"/>
                <w:b/>
                <w:bCs/>
                <w:color w:val="FFFFFF"/>
                <w:szCs w:val="22"/>
                <w:lang w:eastAsia="fr-FR"/>
              </w:rPr>
              <w:t>Ravageurs</w:t>
            </w:r>
          </w:p>
        </w:tc>
        <w:tc>
          <w:tcPr>
            <w:tcW w:w="5868" w:type="dxa"/>
            <w:shd w:val="clear" w:color="auto" w:fill="9BBB59"/>
          </w:tcPr>
          <w:p w:rsidR="007B47DF" w:rsidRPr="008C33CC" w:rsidRDefault="007B47DF" w:rsidP="00AE2CF7">
            <w:pPr>
              <w:suppressAutoHyphens w:val="0"/>
              <w:spacing w:after="0" w:line="276" w:lineRule="auto"/>
              <w:jc w:val="center"/>
              <w:rPr>
                <w:rFonts w:eastAsia="Calibri" w:cs="Times New Roman"/>
                <w:b/>
                <w:bCs/>
                <w:color w:val="FFFFFF"/>
                <w:szCs w:val="22"/>
                <w:lang w:eastAsia="fr-FR"/>
              </w:rPr>
            </w:pPr>
            <w:r w:rsidRPr="008C33CC">
              <w:rPr>
                <w:rFonts w:eastAsia="Calibri" w:cs="Times New Roman"/>
                <w:b/>
                <w:bCs/>
                <w:color w:val="FFFFFF"/>
                <w:szCs w:val="22"/>
                <w:lang w:eastAsia="fr-FR"/>
              </w:rPr>
              <w:t>Leviers utilisés</w:t>
            </w:r>
          </w:p>
        </w:tc>
      </w:tr>
      <w:tr w:rsidR="00081F59" w:rsidRPr="005F070D" w:rsidTr="008C33CC">
        <w:trPr>
          <w:trHeight w:val="302"/>
        </w:trPr>
        <w:tc>
          <w:tcPr>
            <w:tcW w:w="3379" w:type="dxa"/>
            <w:shd w:val="clear" w:color="auto" w:fill="auto"/>
          </w:tcPr>
          <w:p w:rsidR="00081F59" w:rsidRPr="008C33CC" w:rsidRDefault="00081F59"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szCs w:val="22"/>
                <w:lang w:eastAsia="fr-FR"/>
              </w:rPr>
              <w:t>Fumagine</w:t>
            </w:r>
          </w:p>
        </w:tc>
        <w:tc>
          <w:tcPr>
            <w:tcW w:w="5868" w:type="dxa"/>
            <w:shd w:val="clear" w:color="auto" w:fill="auto"/>
          </w:tcPr>
          <w:p w:rsidR="00081F59" w:rsidRPr="008C33CC" w:rsidRDefault="00081F59"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Traitement à base de terpène d’agrumes</w:t>
            </w:r>
          </w:p>
        </w:tc>
      </w:tr>
      <w:tr w:rsidR="00081F59" w:rsidRPr="005F070D" w:rsidTr="008C33CC">
        <w:trPr>
          <w:trHeight w:val="302"/>
        </w:trPr>
        <w:tc>
          <w:tcPr>
            <w:tcW w:w="3379" w:type="dxa"/>
            <w:shd w:val="clear" w:color="auto" w:fill="auto"/>
          </w:tcPr>
          <w:p w:rsidR="00081F59" w:rsidRPr="008C33CC" w:rsidRDefault="00081F59" w:rsidP="00AE2CF7">
            <w:pPr>
              <w:suppressAutoHyphens w:val="0"/>
              <w:spacing w:after="0" w:line="276" w:lineRule="auto"/>
              <w:jc w:val="center"/>
              <w:rPr>
                <w:rFonts w:eastAsia="Calibri" w:cs="Times New Roman"/>
                <w:b/>
                <w:bCs/>
                <w:szCs w:val="22"/>
                <w:lang w:eastAsia="fr-FR"/>
              </w:rPr>
            </w:pPr>
            <w:r w:rsidRPr="008C33CC">
              <w:rPr>
                <w:rFonts w:eastAsia="Calibri" w:cs="Times New Roman"/>
                <w:b/>
                <w:bCs/>
                <w:i/>
                <w:szCs w:val="22"/>
                <w:lang w:eastAsia="fr-FR"/>
              </w:rPr>
              <w:t>Metcalfa pruinosa</w:t>
            </w:r>
          </w:p>
        </w:tc>
        <w:tc>
          <w:tcPr>
            <w:tcW w:w="5868" w:type="dxa"/>
            <w:shd w:val="clear" w:color="auto" w:fill="auto"/>
          </w:tcPr>
          <w:p w:rsidR="00081F59" w:rsidRPr="008C33CC" w:rsidRDefault="00081F59"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Nichoirs à mésange (2 nichoirs/ modalité)</w:t>
            </w:r>
          </w:p>
        </w:tc>
      </w:tr>
      <w:tr w:rsidR="00081F59" w:rsidRPr="005F070D" w:rsidTr="00CE5C78">
        <w:trPr>
          <w:trHeight w:val="636"/>
        </w:trPr>
        <w:tc>
          <w:tcPr>
            <w:tcW w:w="3379" w:type="dxa"/>
            <w:tcBorders>
              <w:top w:val="single" w:sz="8" w:space="0" w:color="9BBB59"/>
              <w:left w:val="single" w:sz="8" w:space="0" w:color="9BBB59"/>
              <w:bottom w:val="single" w:sz="8" w:space="0" w:color="9BBB59"/>
            </w:tcBorders>
            <w:shd w:val="clear" w:color="auto" w:fill="auto"/>
            <w:vAlign w:val="center"/>
          </w:tcPr>
          <w:p w:rsidR="00081F59" w:rsidRPr="008C33CC" w:rsidRDefault="00081F59" w:rsidP="00AE2CF7">
            <w:pPr>
              <w:suppressAutoHyphens w:val="0"/>
              <w:spacing w:after="0" w:line="276" w:lineRule="auto"/>
              <w:jc w:val="center"/>
              <w:rPr>
                <w:rFonts w:eastAsia="Calibri" w:cs="Times New Roman"/>
                <w:b/>
                <w:bCs/>
                <w:i/>
                <w:szCs w:val="22"/>
                <w:lang w:eastAsia="fr-FR"/>
              </w:rPr>
            </w:pPr>
            <w:r w:rsidRPr="008C33CC">
              <w:rPr>
                <w:rFonts w:eastAsia="Calibri" w:cs="Times New Roman"/>
                <w:b/>
                <w:bCs/>
                <w:szCs w:val="22"/>
                <w:lang w:eastAsia="fr-FR"/>
              </w:rPr>
              <w:lastRenderedPageBreak/>
              <w:t>Adventices</w:t>
            </w:r>
          </w:p>
        </w:tc>
        <w:tc>
          <w:tcPr>
            <w:tcW w:w="5868" w:type="dxa"/>
            <w:tcBorders>
              <w:top w:val="single" w:sz="8" w:space="0" w:color="9BBB59"/>
              <w:bottom w:val="single" w:sz="8" w:space="0" w:color="9BBB59"/>
              <w:right w:val="single" w:sz="8" w:space="0" w:color="9BBB59"/>
            </w:tcBorders>
            <w:shd w:val="clear" w:color="auto" w:fill="auto"/>
            <w:vAlign w:val="center"/>
          </w:tcPr>
          <w:p w:rsidR="00081F59" w:rsidRPr="008C33CC" w:rsidRDefault="00081F59" w:rsidP="00AE2CF7">
            <w:pPr>
              <w:suppressAutoHyphens w:val="0"/>
              <w:spacing w:after="0" w:line="276" w:lineRule="auto"/>
              <w:jc w:val="center"/>
              <w:rPr>
                <w:rFonts w:eastAsia="Calibri" w:cs="Times New Roman"/>
                <w:szCs w:val="22"/>
                <w:lang w:eastAsia="fr-FR"/>
              </w:rPr>
            </w:pPr>
            <w:r w:rsidRPr="008C33CC">
              <w:rPr>
                <w:rFonts w:eastAsia="Calibri" w:cs="Times New Roman"/>
                <w:szCs w:val="22"/>
                <w:lang w:eastAsia="fr-FR"/>
              </w:rPr>
              <w:t>Désherbage mécanique ave</w:t>
            </w:r>
            <w:r w:rsidR="0080062C">
              <w:rPr>
                <w:rFonts w:eastAsia="Calibri" w:cs="Times New Roman"/>
                <w:szCs w:val="22"/>
                <w:lang w:eastAsia="fr-FR"/>
              </w:rPr>
              <w:t>c « Herbanet</w:t>
            </w:r>
            <w:r w:rsidR="0080062C" w:rsidRPr="0080062C">
              <w:rPr>
                <w:rFonts w:eastAsia="Calibri" w:cs="Times New Roman"/>
                <w:szCs w:val="22"/>
                <w:vertAlign w:val="superscript"/>
                <w:lang w:eastAsia="fr-FR"/>
              </w:rPr>
              <w:t>®</w:t>
            </w:r>
            <w:r w:rsidR="0080062C">
              <w:rPr>
                <w:rFonts w:eastAsia="Calibri" w:cs="Times New Roman"/>
                <w:szCs w:val="22"/>
                <w:lang w:eastAsia="fr-FR"/>
              </w:rPr>
              <w:t> » et « brosse Spedo</w:t>
            </w:r>
            <w:r w:rsidRPr="008C33CC">
              <w:rPr>
                <w:rFonts w:eastAsia="Calibri" w:cs="Times New Roman"/>
                <w:szCs w:val="22"/>
                <w:lang w:eastAsia="fr-FR"/>
              </w:rPr>
              <w:t> </w:t>
            </w:r>
            <w:r w:rsidR="0080062C" w:rsidRPr="0080062C">
              <w:rPr>
                <w:rFonts w:eastAsia="Calibri" w:cs="Times New Roman"/>
                <w:szCs w:val="22"/>
                <w:vertAlign w:val="superscript"/>
                <w:lang w:eastAsia="fr-FR"/>
              </w:rPr>
              <w:t>®</w:t>
            </w:r>
            <w:r w:rsidRPr="008C33CC">
              <w:rPr>
                <w:rFonts w:eastAsia="Calibri" w:cs="Times New Roman"/>
                <w:szCs w:val="22"/>
                <w:lang w:eastAsia="fr-FR"/>
              </w:rPr>
              <w:t>»</w:t>
            </w:r>
          </w:p>
        </w:tc>
      </w:tr>
      <w:tr w:rsidR="008837AF" w:rsidRPr="005F070D" w:rsidTr="00CE5C78">
        <w:trPr>
          <w:trHeight w:val="636"/>
        </w:trPr>
        <w:tc>
          <w:tcPr>
            <w:tcW w:w="3379" w:type="dxa"/>
            <w:tcBorders>
              <w:top w:val="single" w:sz="8" w:space="0" w:color="9BBB59"/>
              <w:left w:val="single" w:sz="8" w:space="0" w:color="9BBB59"/>
              <w:bottom w:val="single" w:sz="8" w:space="0" w:color="9BBB59"/>
            </w:tcBorders>
            <w:shd w:val="clear" w:color="auto" w:fill="auto"/>
            <w:vAlign w:val="center"/>
          </w:tcPr>
          <w:p w:rsidR="008837AF" w:rsidRPr="008C33CC" w:rsidRDefault="008837AF" w:rsidP="00AE2CF7">
            <w:pPr>
              <w:suppressAutoHyphens w:val="0"/>
              <w:spacing w:after="0" w:line="276" w:lineRule="auto"/>
              <w:jc w:val="center"/>
              <w:rPr>
                <w:rFonts w:eastAsia="Calibri" w:cs="Times New Roman"/>
                <w:b/>
                <w:bCs/>
                <w:szCs w:val="22"/>
                <w:lang w:eastAsia="fr-FR"/>
              </w:rPr>
            </w:pPr>
            <w:r>
              <w:rPr>
                <w:rFonts w:eastAsia="Calibri" w:cs="Times New Roman"/>
                <w:b/>
                <w:bCs/>
                <w:szCs w:val="22"/>
                <w:lang w:eastAsia="fr-FR"/>
              </w:rPr>
              <w:t>Cochenille blanche du mûrier</w:t>
            </w:r>
          </w:p>
        </w:tc>
        <w:tc>
          <w:tcPr>
            <w:tcW w:w="5868" w:type="dxa"/>
            <w:tcBorders>
              <w:top w:val="single" w:sz="8" w:space="0" w:color="9BBB59"/>
              <w:bottom w:val="single" w:sz="8" w:space="0" w:color="9BBB59"/>
              <w:right w:val="single" w:sz="8" w:space="0" w:color="9BBB59"/>
            </w:tcBorders>
            <w:shd w:val="clear" w:color="auto" w:fill="auto"/>
            <w:vAlign w:val="center"/>
          </w:tcPr>
          <w:p w:rsidR="008837AF" w:rsidRPr="008C33CC" w:rsidRDefault="008837AF" w:rsidP="00AE2CF7">
            <w:pPr>
              <w:suppressAutoHyphens w:val="0"/>
              <w:spacing w:after="0" w:line="276" w:lineRule="auto"/>
              <w:jc w:val="center"/>
              <w:rPr>
                <w:rFonts w:eastAsia="Calibri" w:cs="Times New Roman"/>
                <w:szCs w:val="22"/>
                <w:lang w:eastAsia="fr-FR"/>
              </w:rPr>
            </w:pPr>
            <w:r>
              <w:rPr>
                <w:rFonts w:eastAsia="Calibri" w:cs="Times New Roman"/>
                <w:szCs w:val="22"/>
                <w:lang w:eastAsia="fr-FR"/>
              </w:rPr>
              <w:t>Service écosystémique des parasitoïde (</w:t>
            </w:r>
            <w:r w:rsidRPr="008837AF">
              <w:rPr>
                <w:rFonts w:eastAsia="Calibri" w:cs="Times New Roman"/>
                <w:i/>
                <w:szCs w:val="22"/>
                <w:lang w:eastAsia="fr-FR"/>
              </w:rPr>
              <w:t>Encarsia belesei</w:t>
            </w:r>
            <w:r>
              <w:rPr>
                <w:rFonts w:eastAsia="Calibri" w:cs="Times New Roman"/>
                <w:szCs w:val="22"/>
                <w:lang w:eastAsia="fr-FR"/>
              </w:rPr>
              <w:t xml:space="preserve"> et </w:t>
            </w:r>
            <w:r w:rsidRPr="008837AF">
              <w:rPr>
                <w:rFonts w:eastAsia="Calibri" w:cs="Times New Roman"/>
                <w:i/>
                <w:szCs w:val="22"/>
                <w:lang w:eastAsia="fr-FR"/>
              </w:rPr>
              <w:t>Aphytis proclia</w:t>
            </w:r>
            <w:r>
              <w:rPr>
                <w:rFonts w:eastAsia="Calibri" w:cs="Times New Roman"/>
                <w:szCs w:val="22"/>
                <w:lang w:eastAsia="fr-FR"/>
              </w:rPr>
              <w:t>) et des coccinelles (</w:t>
            </w:r>
            <w:r w:rsidRPr="008837AF">
              <w:rPr>
                <w:rFonts w:eastAsia="Calibri" w:cs="Times New Roman"/>
                <w:i/>
                <w:szCs w:val="22"/>
                <w:lang w:eastAsia="fr-FR"/>
              </w:rPr>
              <w:t>Rhyzobius lophantae</w:t>
            </w:r>
            <w:r>
              <w:rPr>
                <w:rFonts w:eastAsia="Calibri" w:cs="Times New Roman"/>
                <w:szCs w:val="22"/>
                <w:lang w:eastAsia="fr-FR"/>
              </w:rPr>
              <w:t>)</w:t>
            </w:r>
          </w:p>
        </w:tc>
      </w:tr>
    </w:tbl>
    <w:p w:rsidR="008837AF" w:rsidRDefault="008837AF" w:rsidP="007709D5">
      <w:pPr>
        <w:suppressAutoHyphens w:val="0"/>
        <w:spacing w:after="200" w:line="276" w:lineRule="auto"/>
        <w:rPr>
          <w:rFonts w:eastAsia="Calibri" w:cs="Times New Roman"/>
          <w:color w:val="7030A0"/>
          <w:sz w:val="24"/>
          <w:lang w:eastAsia="en-US"/>
        </w:rPr>
      </w:pPr>
    </w:p>
    <w:p w:rsidR="007709D5" w:rsidRDefault="0080062C" w:rsidP="007709D5">
      <w:pPr>
        <w:suppressAutoHyphens w:val="0"/>
        <w:spacing w:after="200" w:line="276" w:lineRule="auto"/>
        <w:rPr>
          <w:rFonts w:eastAsia="Calibri" w:cs="Times New Roman"/>
          <w:color w:val="7030A0"/>
          <w:sz w:val="24"/>
          <w:lang w:eastAsia="en-US"/>
        </w:rPr>
      </w:pPr>
      <w:r w:rsidRPr="0080062C">
        <w:rPr>
          <w:rFonts w:eastAsia="Calibri" w:cs="Times New Roman"/>
          <w:color w:val="7030A0"/>
          <w:sz w:val="24"/>
          <w:lang w:eastAsia="en-US"/>
        </w:rPr>
        <w:t>La</w:t>
      </w:r>
      <w:r w:rsidR="007B47DF" w:rsidRPr="0080062C">
        <w:rPr>
          <w:rFonts w:eastAsia="Calibri" w:cs="Times New Roman"/>
          <w:color w:val="7030A0"/>
          <w:sz w:val="24"/>
          <w:lang w:eastAsia="en-US"/>
        </w:rPr>
        <w:t xml:space="preserve"> vigne</w:t>
      </w:r>
    </w:p>
    <w:p w:rsidR="007709D5" w:rsidRPr="007709D5" w:rsidRDefault="007709D5" w:rsidP="007709D5">
      <w:pPr>
        <w:suppressAutoHyphens w:val="0"/>
        <w:spacing w:after="200" w:line="276" w:lineRule="auto"/>
        <w:jc w:val="both"/>
        <w:rPr>
          <w:rFonts w:eastAsia="Calibri" w:cs="Times New Roman"/>
          <w:color w:val="7030A0"/>
          <w:sz w:val="24"/>
          <w:lang w:eastAsia="en-US"/>
        </w:rPr>
      </w:pPr>
      <w:r>
        <w:t>Le choix des leviers pour réduire l’utilisation des intrants a été laissé au libre choix de l’exploitation qui accueille l’essai.</w:t>
      </w:r>
      <w:r>
        <w:rPr>
          <w:rFonts w:eastAsia="Calibri" w:cs="Times New Roman"/>
          <w:color w:val="7030A0"/>
          <w:sz w:val="24"/>
          <w:lang w:eastAsia="en-US"/>
        </w:rPr>
        <w:t xml:space="preserve"> </w:t>
      </w:r>
      <w:r>
        <w:t>« L’Optidose» » est basé sur une utilisation raisonnée des produits phytosanitaires, pour permettre de réduire la quantité d’intrants afin de diminuer l’impact sur l’environnement tout en assurant une protection correcte de la vigne. Ce modèle tient compte de la surface foliaire et donc du stade végétatif, de la pression phytosanitaire mildiou et oïdium, et permet ainsi d’adapter la dose de produit à utiliser. La diminution de l’emploi de produits phytosanitaire passe également par l’utilisation de méthode manuelle (épamprage : diminution des herbicides). Pour le millésime 2015, comme c’était déjà le cas en 2014, l’ensemble des modalités ont été épamprées manuellement, pour pourvoir recéper les ceps trop hauts ou vieillissant. D’un point de vue strictement phytosanitaire, les modalités « pleine dose » et « pleine dose+ travaux en vert » ont donc été conduites à l’identique. Néanmoins, afin de conserver une continuité de l’information sur plusieurs millésimes, les résultats de chaque modalité seront présentés séparément (notation des maladies, contrôles de maturité, identification acariens et IFT).</w:t>
      </w:r>
    </w:p>
    <w:p w:rsidR="008C33CC" w:rsidRDefault="008C33CC" w:rsidP="00AE2CF7">
      <w:pPr>
        <w:pStyle w:val="Lgende"/>
        <w:keepNext/>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3</w:t>
      </w:r>
      <w:r w:rsidR="008F72D3">
        <w:rPr>
          <w:noProof/>
        </w:rPr>
        <w:fldChar w:fldCharType="end"/>
      </w:r>
      <w:r>
        <w:t xml:space="preserve"> : liste des stratégies mises en place par modalité</w:t>
      </w:r>
    </w:p>
    <w:tbl>
      <w:tblPr>
        <w:tblW w:w="10511" w:type="dxa"/>
        <w:jc w:val="center"/>
        <w:tblBorders>
          <w:top w:val="single" w:sz="8" w:space="0" w:color="4BACC6"/>
          <w:bottom w:val="single" w:sz="8" w:space="0" w:color="4BACC6"/>
        </w:tblBorders>
        <w:tblLook w:val="04A0" w:firstRow="1" w:lastRow="0" w:firstColumn="1" w:lastColumn="0" w:noHBand="0" w:noVBand="1"/>
      </w:tblPr>
      <w:tblGrid>
        <w:gridCol w:w="1775"/>
        <w:gridCol w:w="2259"/>
        <w:gridCol w:w="2259"/>
        <w:gridCol w:w="2259"/>
        <w:gridCol w:w="1959"/>
      </w:tblGrid>
      <w:tr w:rsidR="0064188D" w:rsidRPr="0064188D" w:rsidTr="007709D5">
        <w:trPr>
          <w:trHeight w:val="972"/>
          <w:jc w:val="center"/>
        </w:trPr>
        <w:tc>
          <w:tcPr>
            <w:tcW w:w="1775" w:type="dxa"/>
            <w:tcBorders>
              <w:top w:val="single" w:sz="8" w:space="0" w:color="4BACC6"/>
              <w:left w:val="nil"/>
              <w:bottom w:val="single" w:sz="8" w:space="0" w:color="4BACC6"/>
              <w:right w:val="nil"/>
            </w:tcBorders>
          </w:tcPr>
          <w:p w:rsidR="007709D5" w:rsidRPr="0064188D" w:rsidRDefault="007709D5">
            <w:pPr>
              <w:jc w:val="both"/>
              <w:rPr>
                <w:rFonts w:ascii="Arial" w:hAnsi="Arial"/>
                <w:b/>
                <w:bCs/>
                <w:szCs w:val="22"/>
              </w:rPr>
            </w:pPr>
          </w:p>
        </w:tc>
        <w:tc>
          <w:tcPr>
            <w:tcW w:w="2259" w:type="dxa"/>
            <w:tcBorders>
              <w:top w:val="single" w:sz="8" w:space="0" w:color="4BACC6"/>
              <w:left w:val="nil"/>
              <w:bottom w:val="single" w:sz="8" w:space="0" w:color="4BACC6"/>
              <w:right w:val="nil"/>
            </w:tcBorders>
            <w:hideMark/>
          </w:tcPr>
          <w:p w:rsidR="007709D5" w:rsidRPr="0064188D" w:rsidRDefault="007709D5">
            <w:pPr>
              <w:jc w:val="center"/>
              <w:rPr>
                <w:rFonts w:ascii="Arial" w:hAnsi="Arial"/>
                <w:b/>
                <w:bCs/>
                <w:szCs w:val="22"/>
              </w:rPr>
            </w:pPr>
            <w:r w:rsidRPr="0064188D">
              <w:rPr>
                <w:b/>
                <w:bCs/>
                <w:szCs w:val="22"/>
              </w:rPr>
              <w:t>Modalité « pleine dose »</w:t>
            </w:r>
          </w:p>
        </w:tc>
        <w:tc>
          <w:tcPr>
            <w:tcW w:w="2259" w:type="dxa"/>
            <w:tcBorders>
              <w:top w:val="single" w:sz="8" w:space="0" w:color="4BACC6"/>
              <w:left w:val="nil"/>
              <w:bottom w:val="single" w:sz="8" w:space="0" w:color="4BACC6"/>
              <w:right w:val="nil"/>
            </w:tcBorders>
            <w:hideMark/>
          </w:tcPr>
          <w:p w:rsidR="007709D5" w:rsidRPr="0064188D" w:rsidRDefault="007709D5">
            <w:pPr>
              <w:jc w:val="center"/>
              <w:rPr>
                <w:rFonts w:ascii="Arial" w:hAnsi="Arial"/>
                <w:b/>
                <w:bCs/>
                <w:szCs w:val="22"/>
              </w:rPr>
            </w:pPr>
            <w:r w:rsidRPr="0064188D">
              <w:rPr>
                <w:b/>
                <w:bCs/>
                <w:szCs w:val="22"/>
              </w:rPr>
              <w:t>Modalité « pleine dose + travaux en vert »</w:t>
            </w:r>
          </w:p>
        </w:tc>
        <w:tc>
          <w:tcPr>
            <w:tcW w:w="2259" w:type="dxa"/>
            <w:tcBorders>
              <w:top w:val="single" w:sz="8" w:space="0" w:color="4BACC6"/>
              <w:left w:val="nil"/>
              <w:bottom w:val="single" w:sz="8" w:space="0" w:color="4BACC6"/>
              <w:right w:val="nil"/>
            </w:tcBorders>
            <w:hideMark/>
          </w:tcPr>
          <w:p w:rsidR="007709D5" w:rsidRPr="0064188D" w:rsidRDefault="007709D5">
            <w:pPr>
              <w:jc w:val="center"/>
              <w:rPr>
                <w:rFonts w:ascii="Arial" w:hAnsi="Arial"/>
                <w:b/>
                <w:bCs/>
                <w:szCs w:val="22"/>
              </w:rPr>
            </w:pPr>
            <w:r w:rsidRPr="0064188D">
              <w:rPr>
                <w:b/>
                <w:bCs/>
                <w:szCs w:val="22"/>
              </w:rPr>
              <w:t>Modalité « réduction de dose »</w:t>
            </w:r>
          </w:p>
        </w:tc>
        <w:tc>
          <w:tcPr>
            <w:tcW w:w="1959" w:type="dxa"/>
            <w:tcBorders>
              <w:top w:val="single" w:sz="8" w:space="0" w:color="4BACC6"/>
              <w:left w:val="nil"/>
              <w:bottom w:val="single" w:sz="8" w:space="0" w:color="4BACC6"/>
              <w:right w:val="nil"/>
            </w:tcBorders>
            <w:hideMark/>
          </w:tcPr>
          <w:p w:rsidR="007709D5" w:rsidRPr="0064188D" w:rsidRDefault="007709D5">
            <w:pPr>
              <w:jc w:val="center"/>
              <w:rPr>
                <w:rFonts w:ascii="Arial" w:hAnsi="Arial"/>
                <w:b/>
                <w:bCs/>
                <w:szCs w:val="22"/>
              </w:rPr>
            </w:pPr>
            <w:r w:rsidRPr="0064188D">
              <w:rPr>
                <w:b/>
                <w:bCs/>
                <w:szCs w:val="22"/>
              </w:rPr>
              <w:t>Modalité</w:t>
            </w:r>
          </w:p>
          <w:p w:rsidR="007709D5" w:rsidRPr="0064188D" w:rsidRDefault="007709D5">
            <w:pPr>
              <w:jc w:val="center"/>
              <w:rPr>
                <w:rFonts w:ascii="Arial" w:hAnsi="Arial"/>
                <w:b/>
                <w:bCs/>
                <w:szCs w:val="22"/>
              </w:rPr>
            </w:pPr>
            <w:r w:rsidRPr="0064188D">
              <w:rPr>
                <w:b/>
                <w:bCs/>
                <w:szCs w:val="22"/>
              </w:rPr>
              <w:t>« témoin non traité »</w:t>
            </w:r>
          </w:p>
        </w:tc>
      </w:tr>
      <w:tr w:rsidR="0064188D" w:rsidRPr="0064188D" w:rsidTr="007709D5">
        <w:trPr>
          <w:trHeight w:val="1945"/>
          <w:jc w:val="center"/>
        </w:trPr>
        <w:tc>
          <w:tcPr>
            <w:tcW w:w="1775" w:type="dxa"/>
            <w:tcBorders>
              <w:top w:val="nil"/>
              <w:left w:val="nil"/>
              <w:bottom w:val="nil"/>
              <w:right w:val="nil"/>
            </w:tcBorders>
            <w:shd w:val="clear" w:color="auto" w:fill="D2EAF1"/>
            <w:hideMark/>
          </w:tcPr>
          <w:p w:rsidR="007709D5" w:rsidRPr="0064188D" w:rsidRDefault="007709D5">
            <w:pPr>
              <w:jc w:val="center"/>
              <w:rPr>
                <w:rFonts w:ascii="Arial" w:hAnsi="Arial"/>
                <w:b/>
                <w:bCs/>
                <w:szCs w:val="22"/>
              </w:rPr>
            </w:pPr>
            <w:r w:rsidRPr="0064188D">
              <w:rPr>
                <w:b/>
                <w:bCs/>
                <w:szCs w:val="22"/>
              </w:rPr>
              <w:t>Stratégie insecticide</w:t>
            </w:r>
          </w:p>
        </w:tc>
        <w:tc>
          <w:tcPr>
            <w:tcW w:w="2259" w:type="dxa"/>
            <w:tcBorders>
              <w:top w:val="nil"/>
              <w:left w:val="nil"/>
              <w:bottom w:val="nil"/>
              <w:right w:val="nil"/>
            </w:tcBorders>
            <w:shd w:val="clear" w:color="auto" w:fill="D2EAF1"/>
            <w:vAlign w:val="center"/>
            <w:hideMark/>
          </w:tcPr>
          <w:p w:rsidR="007709D5" w:rsidRPr="0064188D" w:rsidRDefault="007709D5">
            <w:pPr>
              <w:jc w:val="center"/>
              <w:rPr>
                <w:rFonts w:ascii="Arial" w:hAnsi="Arial"/>
                <w:szCs w:val="22"/>
              </w:rPr>
            </w:pPr>
            <w:r w:rsidRPr="0064188D">
              <w:rPr>
                <w:szCs w:val="22"/>
              </w:rPr>
              <w:t>Calendrier classique</w:t>
            </w:r>
          </w:p>
          <w:p w:rsidR="007709D5" w:rsidRPr="0064188D" w:rsidRDefault="007709D5">
            <w:pPr>
              <w:jc w:val="center"/>
              <w:rPr>
                <w:rFonts w:ascii="Arial" w:hAnsi="Arial"/>
                <w:szCs w:val="22"/>
              </w:rPr>
            </w:pPr>
            <w:r w:rsidRPr="0064188D">
              <w:rPr>
                <w:szCs w:val="22"/>
              </w:rPr>
              <w:t>Traitements obligatoi</w:t>
            </w:r>
            <w:r w:rsidR="0011355C" w:rsidRPr="0064188D">
              <w:rPr>
                <w:szCs w:val="22"/>
              </w:rPr>
              <w:t>res  contre la cicadelle de la f</w:t>
            </w:r>
            <w:r w:rsidRPr="0064188D">
              <w:rPr>
                <w:szCs w:val="22"/>
              </w:rPr>
              <w:t>lavescence dorée</w:t>
            </w:r>
          </w:p>
        </w:tc>
        <w:tc>
          <w:tcPr>
            <w:tcW w:w="2259" w:type="dxa"/>
            <w:tcBorders>
              <w:top w:val="nil"/>
              <w:left w:val="nil"/>
              <w:bottom w:val="nil"/>
              <w:right w:val="nil"/>
            </w:tcBorders>
            <w:shd w:val="clear" w:color="auto" w:fill="D2EAF1"/>
            <w:vAlign w:val="center"/>
            <w:hideMark/>
          </w:tcPr>
          <w:p w:rsidR="007709D5" w:rsidRPr="0064188D" w:rsidRDefault="007709D5">
            <w:pPr>
              <w:jc w:val="center"/>
              <w:rPr>
                <w:rFonts w:ascii="Arial" w:hAnsi="Arial"/>
                <w:szCs w:val="22"/>
              </w:rPr>
            </w:pPr>
            <w:r w:rsidRPr="0064188D">
              <w:rPr>
                <w:szCs w:val="22"/>
              </w:rPr>
              <w:t>Calendrier classique</w:t>
            </w:r>
          </w:p>
          <w:p w:rsidR="007709D5" w:rsidRPr="0064188D" w:rsidRDefault="007709D5">
            <w:pPr>
              <w:jc w:val="center"/>
              <w:rPr>
                <w:rFonts w:ascii="Arial" w:hAnsi="Arial"/>
                <w:szCs w:val="22"/>
              </w:rPr>
            </w:pPr>
            <w:r w:rsidRPr="0064188D">
              <w:rPr>
                <w:szCs w:val="22"/>
              </w:rPr>
              <w:t>Traitements</w:t>
            </w:r>
            <w:r w:rsidR="0011355C" w:rsidRPr="0064188D">
              <w:rPr>
                <w:szCs w:val="22"/>
              </w:rPr>
              <w:t xml:space="preserve"> obligatoires cicadelles de la f</w:t>
            </w:r>
            <w:r w:rsidRPr="0064188D">
              <w:rPr>
                <w:szCs w:val="22"/>
              </w:rPr>
              <w:t>lavescence dorée</w:t>
            </w:r>
          </w:p>
        </w:tc>
        <w:tc>
          <w:tcPr>
            <w:tcW w:w="2259" w:type="dxa"/>
            <w:tcBorders>
              <w:top w:val="nil"/>
              <w:left w:val="nil"/>
              <w:bottom w:val="nil"/>
              <w:right w:val="nil"/>
            </w:tcBorders>
            <w:shd w:val="clear" w:color="auto" w:fill="D2EAF1"/>
            <w:vAlign w:val="center"/>
            <w:hideMark/>
          </w:tcPr>
          <w:p w:rsidR="007709D5" w:rsidRPr="0064188D" w:rsidRDefault="007709D5">
            <w:pPr>
              <w:jc w:val="center"/>
              <w:rPr>
                <w:rFonts w:ascii="Arial" w:hAnsi="Arial"/>
                <w:szCs w:val="22"/>
              </w:rPr>
            </w:pPr>
            <w:r w:rsidRPr="0064188D">
              <w:rPr>
                <w:szCs w:val="22"/>
              </w:rPr>
              <w:t>Suivi vols tordeuses par piégeage</w:t>
            </w:r>
          </w:p>
          <w:p w:rsidR="007709D5" w:rsidRPr="0064188D" w:rsidRDefault="007709D5">
            <w:pPr>
              <w:jc w:val="center"/>
              <w:rPr>
                <w:rFonts w:ascii="Arial" w:hAnsi="Arial"/>
                <w:szCs w:val="22"/>
              </w:rPr>
            </w:pPr>
            <w:r w:rsidRPr="0064188D">
              <w:rPr>
                <w:szCs w:val="22"/>
              </w:rPr>
              <w:t>Traitements</w:t>
            </w:r>
            <w:r w:rsidR="0011355C" w:rsidRPr="0064188D">
              <w:rPr>
                <w:szCs w:val="22"/>
              </w:rPr>
              <w:t xml:space="preserve"> obligatoires cicadelles de la f</w:t>
            </w:r>
            <w:r w:rsidRPr="0064188D">
              <w:rPr>
                <w:szCs w:val="22"/>
              </w:rPr>
              <w:t>lavescence dorée</w:t>
            </w:r>
          </w:p>
        </w:tc>
        <w:tc>
          <w:tcPr>
            <w:tcW w:w="1959" w:type="dxa"/>
            <w:tcBorders>
              <w:top w:val="nil"/>
              <w:left w:val="nil"/>
              <w:bottom w:val="nil"/>
              <w:right w:val="nil"/>
            </w:tcBorders>
            <w:shd w:val="clear" w:color="auto" w:fill="D2EAF1"/>
            <w:vAlign w:val="center"/>
            <w:hideMark/>
          </w:tcPr>
          <w:p w:rsidR="007709D5" w:rsidRPr="0064188D" w:rsidRDefault="0011355C">
            <w:pPr>
              <w:jc w:val="center"/>
              <w:rPr>
                <w:rFonts w:ascii="Arial" w:hAnsi="Arial"/>
                <w:szCs w:val="22"/>
              </w:rPr>
            </w:pPr>
            <w:r w:rsidRPr="0064188D">
              <w:rPr>
                <w:szCs w:val="22"/>
              </w:rPr>
              <w:t>Traitement obligatoire cicadelles de la f</w:t>
            </w:r>
            <w:r w:rsidR="007709D5" w:rsidRPr="0064188D">
              <w:rPr>
                <w:szCs w:val="22"/>
              </w:rPr>
              <w:t>lavescence dorée</w:t>
            </w:r>
          </w:p>
        </w:tc>
      </w:tr>
      <w:tr w:rsidR="0064188D" w:rsidRPr="0064188D" w:rsidTr="007709D5">
        <w:trPr>
          <w:trHeight w:val="725"/>
          <w:jc w:val="center"/>
        </w:trPr>
        <w:tc>
          <w:tcPr>
            <w:tcW w:w="1775" w:type="dxa"/>
            <w:tcBorders>
              <w:top w:val="nil"/>
              <w:left w:val="nil"/>
              <w:bottom w:val="nil"/>
              <w:right w:val="nil"/>
            </w:tcBorders>
            <w:hideMark/>
          </w:tcPr>
          <w:p w:rsidR="007709D5" w:rsidRPr="0064188D" w:rsidRDefault="007709D5">
            <w:pPr>
              <w:jc w:val="center"/>
              <w:rPr>
                <w:rFonts w:ascii="Arial" w:hAnsi="Arial"/>
                <w:b/>
                <w:bCs/>
                <w:szCs w:val="22"/>
              </w:rPr>
            </w:pPr>
            <w:r w:rsidRPr="0064188D">
              <w:rPr>
                <w:b/>
                <w:bCs/>
                <w:szCs w:val="22"/>
              </w:rPr>
              <w:t xml:space="preserve">Stratégie </w:t>
            </w:r>
          </w:p>
          <w:p w:rsidR="007709D5" w:rsidRPr="0064188D" w:rsidRDefault="007709D5">
            <w:pPr>
              <w:jc w:val="center"/>
              <w:rPr>
                <w:rFonts w:ascii="Arial" w:hAnsi="Arial"/>
                <w:b/>
                <w:bCs/>
                <w:szCs w:val="22"/>
              </w:rPr>
            </w:pPr>
            <w:r w:rsidRPr="0064188D">
              <w:rPr>
                <w:b/>
                <w:bCs/>
                <w:szCs w:val="22"/>
              </w:rPr>
              <w:t>fongicide</w:t>
            </w:r>
          </w:p>
        </w:tc>
        <w:tc>
          <w:tcPr>
            <w:tcW w:w="2259" w:type="dxa"/>
            <w:tcBorders>
              <w:top w:val="nil"/>
              <w:left w:val="nil"/>
              <w:bottom w:val="nil"/>
              <w:right w:val="nil"/>
            </w:tcBorders>
            <w:vAlign w:val="center"/>
            <w:hideMark/>
          </w:tcPr>
          <w:p w:rsidR="007709D5" w:rsidRPr="0064188D" w:rsidRDefault="007709D5">
            <w:pPr>
              <w:jc w:val="center"/>
              <w:rPr>
                <w:rFonts w:ascii="Arial" w:hAnsi="Arial"/>
                <w:szCs w:val="22"/>
              </w:rPr>
            </w:pPr>
            <w:r w:rsidRPr="0064188D">
              <w:rPr>
                <w:szCs w:val="22"/>
              </w:rPr>
              <w:t>calendrier classique</w:t>
            </w:r>
          </w:p>
        </w:tc>
        <w:tc>
          <w:tcPr>
            <w:tcW w:w="2259" w:type="dxa"/>
            <w:tcBorders>
              <w:top w:val="nil"/>
              <w:left w:val="nil"/>
              <w:bottom w:val="nil"/>
              <w:right w:val="nil"/>
            </w:tcBorders>
            <w:vAlign w:val="center"/>
            <w:hideMark/>
          </w:tcPr>
          <w:p w:rsidR="007709D5" w:rsidRPr="0064188D" w:rsidRDefault="007709D5">
            <w:pPr>
              <w:jc w:val="center"/>
              <w:rPr>
                <w:rFonts w:ascii="Arial" w:hAnsi="Arial"/>
                <w:szCs w:val="22"/>
              </w:rPr>
            </w:pPr>
            <w:r w:rsidRPr="0064188D">
              <w:rPr>
                <w:szCs w:val="22"/>
              </w:rPr>
              <w:t>calendrier classique</w:t>
            </w:r>
          </w:p>
        </w:tc>
        <w:tc>
          <w:tcPr>
            <w:tcW w:w="2259" w:type="dxa"/>
            <w:tcBorders>
              <w:top w:val="nil"/>
              <w:left w:val="nil"/>
              <w:bottom w:val="nil"/>
              <w:right w:val="nil"/>
            </w:tcBorders>
            <w:vAlign w:val="center"/>
            <w:hideMark/>
          </w:tcPr>
          <w:p w:rsidR="007709D5" w:rsidRPr="0064188D" w:rsidRDefault="007709D5">
            <w:pPr>
              <w:jc w:val="center"/>
              <w:rPr>
                <w:rFonts w:ascii="Arial" w:hAnsi="Arial"/>
                <w:szCs w:val="22"/>
              </w:rPr>
            </w:pPr>
            <w:r w:rsidRPr="0064188D">
              <w:rPr>
                <w:szCs w:val="22"/>
              </w:rPr>
              <w:t>Optidose</w:t>
            </w:r>
          </w:p>
        </w:tc>
        <w:tc>
          <w:tcPr>
            <w:tcW w:w="1959" w:type="dxa"/>
            <w:tcBorders>
              <w:top w:val="nil"/>
              <w:left w:val="nil"/>
              <w:bottom w:val="nil"/>
              <w:right w:val="nil"/>
            </w:tcBorders>
            <w:vAlign w:val="center"/>
            <w:hideMark/>
          </w:tcPr>
          <w:p w:rsidR="007709D5" w:rsidRPr="0064188D" w:rsidRDefault="007709D5" w:rsidP="008E22B6">
            <w:pPr>
              <w:jc w:val="center"/>
              <w:rPr>
                <w:rFonts w:ascii="Arial" w:hAnsi="Arial"/>
                <w:szCs w:val="22"/>
              </w:rPr>
            </w:pPr>
            <w:r w:rsidRPr="0064188D">
              <w:rPr>
                <w:szCs w:val="22"/>
              </w:rPr>
              <w:t>0 fongicide</w:t>
            </w:r>
          </w:p>
        </w:tc>
      </w:tr>
      <w:tr w:rsidR="0064188D" w:rsidRPr="0064188D" w:rsidTr="007709D5">
        <w:trPr>
          <w:trHeight w:val="2669"/>
          <w:jc w:val="center"/>
        </w:trPr>
        <w:tc>
          <w:tcPr>
            <w:tcW w:w="1775" w:type="dxa"/>
            <w:tcBorders>
              <w:top w:val="nil"/>
              <w:left w:val="nil"/>
              <w:bottom w:val="nil"/>
              <w:right w:val="nil"/>
            </w:tcBorders>
            <w:shd w:val="clear" w:color="auto" w:fill="D2EAF1"/>
            <w:hideMark/>
          </w:tcPr>
          <w:p w:rsidR="007709D5" w:rsidRPr="0064188D" w:rsidRDefault="007709D5">
            <w:pPr>
              <w:jc w:val="center"/>
              <w:rPr>
                <w:rFonts w:ascii="Arial" w:hAnsi="Arial"/>
                <w:b/>
                <w:bCs/>
                <w:szCs w:val="22"/>
              </w:rPr>
            </w:pPr>
            <w:r w:rsidRPr="0064188D">
              <w:rPr>
                <w:b/>
                <w:bCs/>
                <w:szCs w:val="22"/>
              </w:rPr>
              <w:t>Stratégie</w:t>
            </w:r>
          </w:p>
          <w:p w:rsidR="007709D5" w:rsidRPr="0064188D" w:rsidRDefault="007709D5">
            <w:pPr>
              <w:jc w:val="center"/>
              <w:rPr>
                <w:rFonts w:ascii="Arial" w:hAnsi="Arial"/>
                <w:b/>
                <w:bCs/>
                <w:szCs w:val="22"/>
              </w:rPr>
            </w:pPr>
            <w:r w:rsidRPr="0064188D">
              <w:rPr>
                <w:b/>
                <w:bCs/>
                <w:szCs w:val="22"/>
              </w:rPr>
              <w:t xml:space="preserve"> herbicide</w:t>
            </w:r>
          </w:p>
        </w:tc>
        <w:tc>
          <w:tcPr>
            <w:tcW w:w="2259" w:type="dxa"/>
            <w:tcBorders>
              <w:top w:val="nil"/>
              <w:left w:val="nil"/>
              <w:bottom w:val="nil"/>
              <w:right w:val="nil"/>
            </w:tcBorders>
            <w:shd w:val="clear" w:color="auto" w:fill="D2EAF1"/>
            <w:hideMark/>
          </w:tcPr>
          <w:p w:rsidR="007709D5" w:rsidRPr="0064188D" w:rsidRDefault="007709D5">
            <w:pPr>
              <w:jc w:val="center"/>
              <w:rPr>
                <w:rFonts w:ascii="Arial" w:hAnsi="Arial"/>
                <w:szCs w:val="22"/>
              </w:rPr>
            </w:pPr>
            <w:r w:rsidRPr="0064188D">
              <w:rPr>
                <w:szCs w:val="22"/>
              </w:rPr>
              <w:t>désherbage chimique sur le rang</w:t>
            </w:r>
          </w:p>
          <w:p w:rsidR="007709D5" w:rsidRPr="0064188D" w:rsidRDefault="007709D5">
            <w:pPr>
              <w:jc w:val="center"/>
              <w:rPr>
                <w:szCs w:val="22"/>
              </w:rPr>
            </w:pPr>
            <w:r w:rsidRPr="0064188D">
              <w:rPr>
                <w:szCs w:val="22"/>
              </w:rPr>
              <w:t>désherbage mécanique sur l’inter-rang</w:t>
            </w:r>
          </w:p>
          <w:p w:rsidR="007709D5" w:rsidRPr="0064188D" w:rsidRDefault="007709D5">
            <w:pPr>
              <w:jc w:val="center"/>
              <w:rPr>
                <w:rFonts w:ascii="Arial" w:hAnsi="Arial"/>
                <w:szCs w:val="22"/>
              </w:rPr>
            </w:pPr>
            <w:r w:rsidRPr="0064188D">
              <w:rPr>
                <w:szCs w:val="22"/>
              </w:rPr>
              <w:t>Epamprage manuel</w:t>
            </w:r>
          </w:p>
        </w:tc>
        <w:tc>
          <w:tcPr>
            <w:tcW w:w="2259" w:type="dxa"/>
            <w:tcBorders>
              <w:top w:val="nil"/>
              <w:left w:val="nil"/>
              <w:bottom w:val="nil"/>
              <w:right w:val="nil"/>
            </w:tcBorders>
            <w:shd w:val="clear" w:color="auto" w:fill="D2EAF1"/>
            <w:hideMark/>
          </w:tcPr>
          <w:p w:rsidR="007709D5" w:rsidRPr="0064188D" w:rsidRDefault="007709D5">
            <w:pPr>
              <w:jc w:val="center"/>
              <w:rPr>
                <w:rFonts w:ascii="Arial" w:hAnsi="Arial"/>
                <w:szCs w:val="22"/>
              </w:rPr>
            </w:pPr>
            <w:r w:rsidRPr="0064188D">
              <w:rPr>
                <w:szCs w:val="22"/>
              </w:rPr>
              <w:t>désherbage chimique sur le rang</w:t>
            </w:r>
          </w:p>
          <w:p w:rsidR="007709D5" w:rsidRPr="0064188D" w:rsidRDefault="007709D5">
            <w:pPr>
              <w:jc w:val="center"/>
              <w:rPr>
                <w:szCs w:val="22"/>
              </w:rPr>
            </w:pPr>
            <w:r w:rsidRPr="0064188D">
              <w:rPr>
                <w:szCs w:val="22"/>
              </w:rPr>
              <w:t>désherbage mécanique sur l’inter rang</w:t>
            </w:r>
          </w:p>
          <w:p w:rsidR="007709D5" w:rsidRPr="0064188D" w:rsidRDefault="007709D5">
            <w:pPr>
              <w:jc w:val="center"/>
              <w:rPr>
                <w:rFonts w:ascii="Arial" w:hAnsi="Arial"/>
                <w:szCs w:val="22"/>
              </w:rPr>
            </w:pPr>
            <w:r w:rsidRPr="0064188D">
              <w:rPr>
                <w:szCs w:val="22"/>
              </w:rPr>
              <w:t>Epamprage manuel</w:t>
            </w:r>
          </w:p>
        </w:tc>
        <w:tc>
          <w:tcPr>
            <w:tcW w:w="2259" w:type="dxa"/>
            <w:tcBorders>
              <w:top w:val="nil"/>
              <w:left w:val="nil"/>
              <w:bottom w:val="nil"/>
              <w:right w:val="nil"/>
            </w:tcBorders>
            <w:shd w:val="clear" w:color="auto" w:fill="D2EAF1"/>
            <w:hideMark/>
          </w:tcPr>
          <w:p w:rsidR="007709D5" w:rsidRPr="0064188D" w:rsidRDefault="007709D5">
            <w:pPr>
              <w:jc w:val="center"/>
              <w:rPr>
                <w:rFonts w:ascii="Arial" w:hAnsi="Arial"/>
                <w:szCs w:val="22"/>
              </w:rPr>
            </w:pPr>
            <w:r w:rsidRPr="0064188D">
              <w:rPr>
                <w:szCs w:val="22"/>
              </w:rPr>
              <w:t>désherbage chimique sur le rang</w:t>
            </w:r>
          </w:p>
          <w:p w:rsidR="007709D5" w:rsidRPr="0064188D" w:rsidRDefault="007709D5">
            <w:pPr>
              <w:jc w:val="center"/>
              <w:rPr>
                <w:szCs w:val="22"/>
              </w:rPr>
            </w:pPr>
            <w:r w:rsidRPr="0064188D">
              <w:rPr>
                <w:szCs w:val="22"/>
              </w:rPr>
              <w:t>désherbage mécanique sur l’inter rang</w:t>
            </w:r>
          </w:p>
          <w:p w:rsidR="007709D5" w:rsidRPr="0064188D" w:rsidRDefault="007709D5">
            <w:pPr>
              <w:jc w:val="center"/>
              <w:rPr>
                <w:rFonts w:ascii="Arial" w:hAnsi="Arial"/>
                <w:szCs w:val="22"/>
              </w:rPr>
            </w:pPr>
            <w:r w:rsidRPr="0064188D">
              <w:rPr>
                <w:szCs w:val="22"/>
              </w:rPr>
              <w:t>Epamprage manuel</w:t>
            </w:r>
          </w:p>
        </w:tc>
        <w:tc>
          <w:tcPr>
            <w:tcW w:w="1959" w:type="dxa"/>
            <w:tcBorders>
              <w:top w:val="nil"/>
              <w:left w:val="nil"/>
              <w:bottom w:val="nil"/>
              <w:right w:val="nil"/>
            </w:tcBorders>
            <w:shd w:val="clear" w:color="auto" w:fill="D2EAF1"/>
            <w:vAlign w:val="center"/>
          </w:tcPr>
          <w:p w:rsidR="007709D5" w:rsidRPr="0064188D" w:rsidRDefault="007709D5">
            <w:pPr>
              <w:jc w:val="center"/>
              <w:rPr>
                <w:rFonts w:ascii="Arial" w:hAnsi="Arial"/>
                <w:szCs w:val="22"/>
              </w:rPr>
            </w:pPr>
            <w:r w:rsidRPr="0064188D">
              <w:rPr>
                <w:szCs w:val="22"/>
              </w:rPr>
              <w:t>désherbage chimique sur le rang</w:t>
            </w:r>
          </w:p>
          <w:p w:rsidR="007709D5" w:rsidRPr="0064188D" w:rsidRDefault="007709D5">
            <w:pPr>
              <w:jc w:val="center"/>
              <w:rPr>
                <w:szCs w:val="22"/>
              </w:rPr>
            </w:pPr>
            <w:r w:rsidRPr="0064188D">
              <w:rPr>
                <w:szCs w:val="22"/>
              </w:rPr>
              <w:t>désherbage mécanique sur l’inter rang</w:t>
            </w:r>
          </w:p>
          <w:p w:rsidR="007709D5" w:rsidRPr="0064188D" w:rsidRDefault="007709D5">
            <w:pPr>
              <w:jc w:val="center"/>
              <w:rPr>
                <w:szCs w:val="22"/>
              </w:rPr>
            </w:pPr>
            <w:r w:rsidRPr="0064188D">
              <w:rPr>
                <w:szCs w:val="22"/>
              </w:rPr>
              <w:t>Epamprage manuel</w:t>
            </w:r>
          </w:p>
          <w:p w:rsidR="007709D5" w:rsidRPr="0064188D" w:rsidRDefault="007709D5">
            <w:pPr>
              <w:jc w:val="center"/>
              <w:rPr>
                <w:rFonts w:ascii="Arial" w:hAnsi="Arial"/>
                <w:szCs w:val="22"/>
              </w:rPr>
            </w:pPr>
          </w:p>
        </w:tc>
      </w:tr>
      <w:tr w:rsidR="0064188D" w:rsidRPr="0064188D" w:rsidTr="007709D5">
        <w:trPr>
          <w:trHeight w:val="362"/>
          <w:jc w:val="center"/>
        </w:trPr>
        <w:tc>
          <w:tcPr>
            <w:tcW w:w="1775" w:type="dxa"/>
            <w:tcBorders>
              <w:top w:val="nil"/>
              <w:left w:val="nil"/>
              <w:bottom w:val="single" w:sz="8" w:space="0" w:color="4BACC6"/>
              <w:right w:val="nil"/>
            </w:tcBorders>
            <w:hideMark/>
          </w:tcPr>
          <w:p w:rsidR="007709D5" w:rsidRPr="0064188D" w:rsidRDefault="007709D5">
            <w:pPr>
              <w:jc w:val="center"/>
              <w:rPr>
                <w:rFonts w:ascii="Arial" w:hAnsi="Arial"/>
                <w:b/>
                <w:bCs/>
                <w:szCs w:val="22"/>
              </w:rPr>
            </w:pPr>
            <w:r w:rsidRPr="0064188D">
              <w:rPr>
                <w:b/>
                <w:bCs/>
                <w:szCs w:val="22"/>
              </w:rPr>
              <w:t>Objectifs de production</w:t>
            </w:r>
          </w:p>
        </w:tc>
        <w:tc>
          <w:tcPr>
            <w:tcW w:w="2259" w:type="dxa"/>
            <w:tcBorders>
              <w:top w:val="nil"/>
              <w:left w:val="nil"/>
              <w:bottom w:val="single" w:sz="8" w:space="0" w:color="4BACC6"/>
              <w:right w:val="nil"/>
            </w:tcBorders>
            <w:hideMark/>
          </w:tcPr>
          <w:p w:rsidR="007709D5" w:rsidRPr="0064188D" w:rsidRDefault="007709D5">
            <w:pPr>
              <w:jc w:val="center"/>
              <w:rPr>
                <w:rFonts w:ascii="Arial" w:hAnsi="Arial"/>
                <w:szCs w:val="22"/>
              </w:rPr>
            </w:pPr>
            <w:r w:rsidRPr="0064188D">
              <w:rPr>
                <w:szCs w:val="22"/>
              </w:rPr>
              <w:t>AOP</w:t>
            </w:r>
          </w:p>
        </w:tc>
        <w:tc>
          <w:tcPr>
            <w:tcW w:w="2259" w:type="dxa"/>
            <w:tcBorders>
              <w:top w:val="nil"/>
              <w:left w:val="nil"/>
              <w:bottom w:val="single" w:sz="8" w:space="0" w:color="4BACC6"/>
              <w:right w:val="nil"/>
            </w:tcBorders>
            <w:hideMark/>
          </w:tcPr>
          <w:p w:rsidR="007709D5" w:rsidRPr="0064188D" w:rsidRDefault="007709D5">
            <w:pPr>
              <w:jc w:val="center"/>
              <w:rPr>
                <w:rFonts w:ascii="Arial" w:hAnsi="Arial"/>
                <w:szCs w:val="22"/>
              </w:rPr>
            </w:pPr>
            <w:r w:rsidRPr="0064188D">
              <w:rPr>
                <w:szCs w:val="22"/>
              </w:rPr>
              <w:t>AOP, cuvée haut de gamme</w:t>
            </w:r>
          </w:p>
        </w:tc>
        <w:tc>
          <w:tcPr>
            <w:tcW w:w="2259" w:type="dxa"/>
            <w:tcBorders>
              <w:top w:val="nil"/>
              <w:left w:val="nil"/>
              <w:bottom w:val="single" w:sz="8" w:space="0" w:color="4BACC6"/>
              <w:right w:val="nil"/>
            </w:tcBorders>
            <w:hideMark/>
          </w:tcPr>
          <w:p w:rsidR="007709D5" w:rsidRPr="0064188D" w:rsidRDefault="007709D5">
            <w:pPr>
              <w:jc w:val="center"/>
              <w:rPr>
                <w:rFonts w:ascii="Arial" w:hAnsi="Arial"/>
                <w:szCs w:val="22"/>
              </w:rPr>
            </w:pPr>
            <w:r w:rsidRPr="0064188D">
              <w:rPr>
                <w:szCs w:val="22"/>
              </w:rPr>
              <w:t>IGP</w:t>
            </w:r>
          </w:p>
        </w:tc>
        <w:tc>
          <w:tcPr>
            <w:tcW w:w="1959" w:type="dxa"/>
            <w:tcBorders>
              <w:top w:val="nil"/>
              <w:left w:val="nil"/>
              <w:bottom w:val="single" w:sz="8" w:space="0" w:color="4BACC6"/>
              <w:right w:val="nil"/>
            </w:tcBorders>
            <w:hideMark/>
          </w:tcPr>
          <w:p w:rsidR="007709D5" w:rsidRPr="0064188D" w:rsidRDefault="007709D5">
            <w:pPr>
              <w:jc w:val="center"/>
              <w:rPr>
                <w:rFonts w:ascii="Arial" w:hAnsi="Arial"/>
                <w:szCs w:val="22"/>
              </w:rPr>
            </w:pPr>
            <w:r w:rsidRPr="0064188D">
              <w:rPr>
                <w:szCs w:val="22"/>
              </w:rPr>
              <w:t>IGP</w:t>
            </w:r>
          </w:p>
        </w:tc>
      </w:tr>
    </w:tbl>
    <w:p w:rsidR="00224E32" w:rsidRPr="008C33CC" w:rsidRDefault="002F2786" w:rsidP="00AE2CF7">
      <w:pPr>
        <w:pStyle w:val="Titre1"/>
        <w:numPr>
          <w:ilvl w:val="0"/>
          <w:numId w:val="34"/>
        </w:numPr>
        <w:spacing w:line="276" w:lineRule="auto"/>
        <w:rPr>
          <w:rFonts w:ascii="Times New Roman" w:hAnsi="Times New Roman"/>
        </w:rPr>
      </w:pPr>
      <w:bookmarkStart w:id="16" w:name="_Toc446344569"/>
      <w:r>
        <w:rPr>
          <w:rFonts w:ascii="Times New Roman" w:hAnsi="Times New Roman"/>
        </w:rPr>
        <w:lastRenderedPageBreak/>
        <w:t>Bilan à mi-parcours -Perspectives</w:t>
      </w:r>
      <w:bookmarkEnd w:id="16"/>
    </w:p>
    <w:p w:rsidR="00224E32" w:rsidRDefault="00224E32" w:rsidP="00AE2CF7">
      <w:pPr>
        <w:spacing w:line="276" w:lineRule="auto"/>
        <w:rPr>
          <w:rFonts w:cs="Times New Roman"/>
          <w:sz w:val="24"/>
          <w:lang w:eastAsia="en-US"/>
        </w:rPr>
      </w:pPr>
    </w:p>
    <w:p w:rsidR="002F2786" w:rsidRDefault="002F2786" w:rsidP="002F2786">
      <w:pPr>
        <w:pStyle w:val="Titre3"/>
        <w:numPr>
          <w:ilvl w:val="0"/>
          <w:numId w:val="41"/>
        </w:numPr>
      </w:pPr>
      <w:bookmarkStart w:id="17" w:name="_Toc446344570"/>
      <w:r>
        <w:t xml:space="preserve">Méthodologie d’expérimentation </w:t>
      </w:r>
      <w:r w:rsidR="005856A0">
        <w:t>« </w:t>
      </w:r>
      <w:r>
        <w:t>système</w:t>
      </w:r>
      <w:r w:rsidR="005856A0">
        <w:t> »</w:t>
      </w:r>
      <w:bookmarkEnd w:id="17"/>
    </w:p>
    <w:p w:rsidR="00EF20ED" w:rsidRDefault="00EF20ED" w:rsidP="00EF20ED">
      <w:pPr>
        <w:rPr>
          <w:lang w:eastAsia="en-US"/>
        </w:rPr>
      </w:pPr>
      <w:r w:rsidRPr="0080062C">
        <w:rPr>
          <w:u w:val="single"/>
          <w:lang w:eastAsia="en-US"/>
        </w:rPr>
        <w:t>La méthodologie mise en place dans les vergers d’agrumes et de kiwis</w:t>
      </w:r>
      <w:r>
        <w:rPr>
          <w:lang w:eastAsia="en-US"/>
        </w:rPr>
        <w:t> :</w:t>
      </w:r>
    </w:p>
    <w:p w:rsidR="00EF20ED" w:rsidRDefault="00EF20ED" w:rsidP="00895A11">
      <w:pPr>
        <w:jc w:val="both"/>
        <w:rPr>
          <w:lang w:eastAsia="en-US"/>
        </w:rPr>
      </w:pPr>
      <w:r>
        <w:rPr>
          <w:lang w:eastAsia="en-US"/>
        </w:rPr>
        <w:t>L’approche système mis</w:t>
      </w:r>
      <w:r w:rsidR="00895A11">
        <w:rPr>
          <w:lang w:eastAsia="en-US"/>
        </w:rPr>
        <w:t>e</w:t>
      </w:r>
      <w:r>
        <w:rPr>
          <w:lang w:eastAsia="en-US"/>
        </w:rPr>
        <w:t xml:space="preserve"> en place depuis 2012 nous a permis d’appréhender l’effet d’un itinéraire technique. En effet, </w:t>
      </w:r>
      <w:r w:rsidR="00895A11">
        <w:rPr>
          <w:lang w:eastAsia="en-US"/>
        </w:rPr>
        <w:t>l’intérêt principal du projet Dephy était l’évaluation de l’impact de différents itinéraires techniques selon des critères agronomiques, économiques et environnementaux. Ce type d’approche a permis d’obtenir des références s</w:t>
      </w:r>
      <w:r w:rsidR="00A067E3">
        <w:rPr>
          <w:lang w:eastAsia="en-US"/>
        </w:rPr>
        <w:t>ur les principales cultures en</w:t>
      </w:r>
      <w:r w:rsidR="00895A11">
        <w:rPr>
          <w:lang w:eastAsia="en-US"/>
        </w:rPr>
        <w:t xml:space="preserve"> Corse.</w:t>
      </w:r>
      <w:r w:rsidR="00A067E3">
        <w:rPr>
          <w:lang w:eastAsia="en-US"/>
        </w:rPr>
        <w:t xml:space="preserve"> Ces références pourront être utiles afin de permettre aux agriculteurs d’initier une diminution d’intrants dans leur exploitation.</w:t>
      </w:r>
      <w:r w:rsidR="00895A11">
        <w:rPr>
          <w:lang w:eastAsia="en-US"/>
        </w:rPr>
        <w:t xml:space="preserve"> </w:t>
      </w:r>
    </w:p>
    <w:p w:rsidR="00CE2B5F" w:rsidRDefault="005856A0" w:rsidP="00895A11">
      <w:pPr>
        <w:jc w:val="both"/>
        <w:rPr>
          <w:lang w:eastAsia="en-US"/>
        </w:rPr>
      </w:pPr>
      <w:r>
        <w:rPr>
          <w:lang w:eastAsia="en-US"/>
        </w:rPr>
        <w:t xml:space="preserve">Il apparaît au bout de trois ans que ce type d’expérimentation nécessite l’utilisation d’indicateurs adaptés et pertinents pour évaluer réellement l’impact des itinéraires techniques. </w:t>
      </w:r>
      <w:r w:rsidR="0080062C">
        <w:rPr>
          <w:lang w:eastAsia="en-US"/>
        </w:rPr>
        <w:t>En effet</w:t>
      </w:r>
      <w:r w:rsidR="00CE2B5F">
        <w:rPr>
          <w:lang w:eastAsia="en-US"/>
        </w:rPr>
        <w:t>, l</w:t>
      </w:r>
      <w:r>
        <w:rPr>
          <w:lang w:eastAsia="en-US"/>
        </w:rPr>
        <w:t>’indicateur</w:t>
      </w:r>
      <w:r w:rsidR="00CE2B5F">
        <w:rPr>
          <w:lang w:eastAsia="en-US"/>
        </w:rPr>
        <w:t xml:space="preserve"> environnemental</w:t>
      </w:r>
      <w:r>
        <w:rPr>
          <w:lang w:eastAsia="en-US"/>
        </w:rPr>
        <w:t xml:space="preserve"> utilisé depuis trois ans, les populations d’acariens Phytoseïdes, </w:t>
      </w:r>
      <w:r w:rsidR="00CE2B5F">
        <w:rPr>
          <w:lang w:eastAsia="en-US"/>
        </w:rPr>
        <w:t>ne semble pas adéquate</w:t>
      </w:r>
      <w:r w:rsidR="0011355C">
        <w:rPr>
          <w:lang w:eastAsia="en-US"/>
        </w:rPr>
        <w:t xml:space="preserve"> pour la culture de clémentines en Corse.</w:t>
      </w:r>
      <w:r w:rsidR="00CE2B5F">
        <w:rPr>
          <w:lang w:eastAsia="en-US"/>
        </w:rPr>
        <w:t xml:space="preserve"> En effet, les populations d’acariens sont particulièrement faibles et il est donc difficile de voir une évolution positive ou négative par rapport à l’utilisation des produits phytosanitaires. </w:t>
      </w:r>
      <w:r w:rsidR="00A067E3">
        <w:rPr>
          <w:lang w:eastAsia="en-US"/>
        </w:rPr>
        <w:t>S</w:t>
      </w:r>
      <w:r w:rsidR="00CE2B5F">
        <w:rPr>
          <w:lang w:eastAsia="en-US"/>
        </w:rPr>
        <w:t>euls les indicateurs liés directement aux traitements ou aux ch</w:t>
      </w:r>
      <w:r w:rsidR="0080062C">
        <w:rPr>
          <w:lang w:eastAsia="en-US"/>
        </w:rPr>
        <w:t>angements du mode de conduite</w:t>
      </w:r>
      <w:r w:rsidR="00CE2B5F">
        <w:rPr>
          <w:lang w:eastAsia="en-US"/>
        </w:rPr>
        <w:t xml:space="preserve"> permettent d’observer l’effet de l’approche </w:t>
      </w:r>
      <w:r w:rsidR="00AA0778">
        <w:rPr>
          <w:lang w:eastAsia="en-US"/>
        </w:rPr>
        <w:t>« système », tels que :</w:t>
      </w:r>
      <w:r w:rsidR="00CE2B5F">
        <w:rPr>
          <w:lang w:eastAsia="en-US"/>
        </w:rPr>
        <w:t xml:space="preserve"> les temps de travaux ou les rendements et écarts. </w:t>
      </w:r>
      <w:r w:rsidR="00A067E3">
        <w:rPr>
          <w:lang w:eastAsia="en-US"/>
        </w:rPr>
        <w:t>Il est donc nécessaire de trouver un moyen de contrôler l’effet de la diminution des intrants sur la faune auxiliaire en verger de clémentiniers.</w:t>
      </w:r>
    </w:p>
    <w:p w:rsidR="008F3762" w:rsidRDefault="008F3762" w:rsidP="00895A11">
      <w:pPr>
        <w:jc w:val="both"/>
        <w:rPr>
          <w:lang w:eastAsia="en-US"/>
        </w:rPr>
      </w:pPr>
      <w:r>
        <w:rPr>
          <w:lang w:eastAsia="en-US"/>
        </w:rPr>
        <w:t>Pour les kiwis,</w:t>
      </w:r>
      <w:r w:rsidR="008F4D3D">
        <w:rPr>
          <w:lang w:eastAsia="en-US"/>
        </w:rPr>
        <w:t xml:space="preserve"> l’approche « système » a permis de démontrer que</w:t>
      </w:r>
      <w:r>
        <w:rPr>
          <w:lang w:eastAsia="en-US"/>
        </w:rPr>
        <w:t xml:space="preserve"> la diminution d’intrants </w:t>
      </w:r>
      <w:r w:rsidR="008F4D3D">
        <w:rPr>
          <w:lang w:eastAsia="en-US"/>
        </w:rPr>
        <w:t xml:space="preserve">est </w:t>
      </w:r>
      <w:r>
        <w:rPr>
          <w:lang w:eastAsia="en-US"/>
        </w:rPr>
        <w:t xml:space="preserve">possible car </w:t>
      </w:r>
      <w:r w:rsidR="008F4D3D">
        <w:rPr>
          <w:lang w:eastAsia="en-US"/>
        </w:rPr>
        <w:t>les bio-agresseurs de cette culture sont peu nombreux</w:t>
      </w:r>
      <w:r w:rsidR="004636A9">
        <w:rPr>
          <w:lang w:eastAsia="en-US"/>
        </w:rPr>
        <w:t xml:space="preserve">. </w:t>
      </w:r>
      <w:r w:rsidR="008F4D3D">
        <w:rPr>
          <w:lang w:eastAsia="en-US"/>
        </w:rPr>
        <w:t xml:space="preserve">Par ailleurs, la culture kiwi se prête à l’utilisation du désherbage mécanique (système d’irrigation adapté et frondaison limitant la repousse des adventices). </w:t>
      </w:r>
      <w:r w:rsidR="004636A9">
        <w:rPr>
          <w:lang w:eastAsia="en-US"/>
        </w:rPr>
        <w:t xml:space="preserve">Cependant, aucun réseau ferme n’a été constitué pour cette culture, il est donc difficile de faire valider les résultats sur d’autres parcelles. </w:t>
      </w:r>
    </w:p>
    <w:p w:rsidR="0080062C" w:rsidRDefault="00C53E96" w:rsidP="00895A11">
      <w:pPr>
        <w:jc w:val="both"/>
        <w:rPr>
          <w:lang w:eastAsia="en-US"/>
        </w:rPr>
      </w:pPr>
      <w:r>
        <w:rPr>
          <w:lang w:eastAsia="en-US"/>
        </w:rPr>
        <w:t>Le point fort de l’approche « systèm</w:t>
      </w:r>
      <w:r w:rsidR="00CB4D90">
        <w:rPr>
          <w:lang w:eastAsia="en-US"/>
        </w:rPr>
        <w:t>e » est la possibilité de mesurer</w:t>
      </w:r>
      <w:r>
        <w:rPr>
          <w:lang w:eastAsia="en-US"/>
        </w:rPr>
        <w:t xml:space="preserve"> réellement l’efficacité des leviers testés car ils sont intégrés dans un itinéraire technique. En revanche,</w:t>
      </w:r>
      <w:r w:rsidR="00AA0778">
        <w:rPr>
          <w:lang w:eastAsia="en-US"/>
        </w:rPr>
        <w:t xml:space="preserve"> la </w:t>
      </w:r>
      <w:r>
        <w:rPr>
          <w:lang w:eastAsia="en-US"/>
        </w:rPr>
        <w:t xml:space="preserve">difficulté principale </w:t>
      </w:r>
      <w:r w:rsidR="0080062C">
        <w:rPr>
          <w:lang w:eastAsia="en-US"/>
        </w:rPr>
        <w:t>est l’utilisation d’indicateurs pertinents capables de donner de réelles informations sur les performances des systèmes testés. Par aill</w:t>
      </w:r>
      <w:r w:rsidR="00790627">
        <w:rPr>
          <w:lang w:eastAsia="en-US"/>
        </w:rPr>
        <w:t xml:space="preserve">eurs, ce type d’expérimentation doit passer par des tests sur plusieurs sites pour confronter la méthode à des conditions environnementales et agronomiques (variétés, </w:t>
      </w:r>
      <w:r w:rsidR="008F4D3D">
        <w:rPr>
          <w:lang w:eastAsia="en-US"/>
        </w:rPr>
        <w:t>âge</w:t>
      </w:r>
      <w:r w:rsidR="0011355C">
        <w:rPr>
          <w:lang w:eastAsia="en-US"/>
        </w:rPr>
        <w:t xml:space="preserve"> du verger, pression des bio-</w:t>
      </w:r>
      <w:r w:rsidR="00790627">
        <w:rPr>
          <w:lang w:eastAsia="en-US"/>
        </w:rPr>
        <w:t>agresseurs,…) contrastées.</w:t>
      </w:r>
    </w:p>
    <w:p w:rsidR="007709D5" w:rsidRDefault="007709D5" w:rsidP="00895A11">
      <w:pPr>
        <w:jc w:val="both"/>
        <w:rPr>
          <w:u w:val="single"/>
          <w:lang w:eastAsia="en-US"/>
        </w:rPr>
      </w:pPr>
      <w:r w:rsidRPr="007709D5">
        <w:rPr>
          <w:u w:val="single"/>
          <w:lang w:eastAsia="en-US"/>
        </w:rPr>
        <w:t>La méthodologie mise en place en vigne :</w:t>
      </w:r>
    </w:p>
    <w:p w:rsidR="007709D5" w:rsidRDefault="007709D5" w:rsidP="007709D5">
      <w:pPr>
        <w:jc w:val="both"/>
      </w:pPr>
      <w:r>
        <w:t>L’approche système, telle qu’elle a été conçue pour l’expérimentation vigne ne constitue pas une approche « révolutionnaire » de la gestion phytosanitaire de la vigne. C’est une formalisation</w:t>
      </w:r>
      <w:r>
        <w:rPr>
          <w:i/>
        </w:rPr>
        <w:t xml:space="preserve"> </w:t>
      </w:r>
      <w:r>
        <w:t>de ce qui se fait ou pourrait se faire de façon raisonnée par beaucoup de viticulteurs quand le contexte globale le permet (pression sanitaire inhérente au triptyque « cépage-millésime-parcelle », organisation et objectifs de production de l’exploitation).</w:t>
      </w:r>
    </w:p>
    <w:p w:rsidR="007709D5" w:rsidRPr="007709D5" w:rsidRDefault="007709D5" w:rsidP="007709D5">
      <w:pPr>
        <w:jc w:val="both"/>
        <w:rPr>
          <w:rFonts w:cs="Times New Roman"/>
          <w:szCs w:val="22"/>
        </w:rPr>
      </w:pPr>
      <w:r w:rsidRPr="007709D5">
        <w:rPr>
          <w:rFonts w:cs="Times New Roman"/>
          <w:szCs w:val="22"/>
        </w:rPr>
        <w:t>L’analyse et l’évaluation des expérimentations devraient se faire avec les mêmes méthodes et outils. Les m</w:t>
      </w:r>
      <w:r w:rsidR="00B97955">
        <w:rPr>
          <w:rFonts w:cs="Times New Roman"/>
          <w:szCs w:val="22"/>
        </w:rPr>
        <w:t>odalités exactes de la partie « </w:t>
      </w:r>
      <w:r w:rsidRPr="007709D5">
        <w:rPr>
          <w:rFonts w:cs="Times New Roman"/>
          <w:szCs w:val="22"/>
        </w:rPr>
        <w:t>vigne</w:t>
      </w:r>
      <w:r w:rsidR="00B97955">
        <w:rPr>
          <w:rFonts w:cs="Times New Roman"/>
          <w:szCs w:val="22"/>
        </w:rPr>
        <w:t> » du projet</w:t>
      </w:r>
      <w:r w:rsidRPr="007709D5">
        <w:rPr>
          <w:rFonts w:cs="Times New Roman"/>
          <w:szCs w:val="22"/>
        </w:rPr>
        <w:t xml:space="preserve"> se préciseront dans les semaines à venir, en relation avec la modification du </w:t>
      </w:r>
      <w:r w:rsidR="00D418E3">
        <w:rPr>
          <w:rFonts w:cs="Times New Roman"/>
          <w:szCs w:val="22"/>
        </w:rPr>
        <w:t>contexte de l’expérimentation, </w:t>
      </w:r>
      <w:r w:rsidRPr="007709D5">
        <w:rPr>
          <w:rFonts w:cs="Times New Roman"/>
          <w:szCs w:val="22"/>
        </w:rPr>
        <w:t xml:space="preserve">les modalités </w:t>
      </w:r>
      <w:r w:rsidR="00D418E3">
        <w:rPr>
          <w:rFonts w:cs="Times New Roman"/>
          <w:szCs w:val="22"/>
        </w:rPr>
        <w:t>« </w:t>
      </w:r>
      <w:r w:rsidRPr="007709D5">
        <w:rPr>
          <w:rFonts w:cs="Times New Roman"/>
          <w:szCs w:val="22"/>
        </w:rPr>
        <w:t>pleine dose</w:t>
      </w:r>
      <w:r w:rsidR="00D418E3">
        <w:rPr>
          <w:rFonts w:cs="Times New Roman"/>
          <w:szCs w:val="22"/>
        </w:rPr>
        <w:t> » »</w:t>
      </w:r>
      <w:r w:rsidRPr="007709D5">
        <w:rPr>
          <w:rFonts w:cs="Times New Roman"/>
          <w:szCs w:val="22"/>
        </w:rPr>
        <w:t xml:space="preserve"> et </w:t>
      </w:r>
      <w:r w:rsidR="00D418E3">
        <w:rPr>
          <w:rFonts w:cs="Times New Roman"/>
          <w:szCs w:val="22"/>
        </w:rPr>
        <w:t>« </w:t>
      </w:r>
      <w:r w:rsidRPr="007709D5">
        <w:rPr>
          <w:rFonts w:cs="Times New Roman"/>
          <w:szCs w:val="22"/>
        </w:rPr>
        <w:t xml:space="preserve">réduction </w:t>
      </w:r>
      <w:r w:rsidR="00D418E3">
        <w:rPr>
          <w:rFonts w:cs="Times New Roman"/>
          <w:szCs w:val="22"/>
        </w:rPr>
        <w:t xml:space="preserve">de dose » </w:t>
      </w:r>
      <w:r w:rsidRPr="007709D5">
        <w:rPr>
          <w:rFonts w:cs="Times New Roman"/>
          <w:szCs w:val="22"/>
        </w:rPr>
        <w:t>s’entendant maintenant relativement au cahier des charges de l’agriculture biologique, l’exploitation débutant sa conversion en 2016.</w:t>
      </w:r>
    </w:p>
    <w:p w:rsidR="002F2786" w:rsidRDefault="002F2786" w:rsidP="002F2786">
      <w:pPr>
        <w:pStyle w:val="Titre3"/>
        <w:numPr>
          <w:ilvl w:val="0"/>
          <w:numId w:val="41"/>
        </w:numPr>
      </w:pPr>
      <w:bookmarkStart w:id="18" w:name="_Toc446344571"/>
      <w:r>
        <w:t>Résultats obtenus et diffusables</w:t>
      </w:r>
      <w:bookmarkEnd w:id="18"/>
    </w:p>
    <w:p w:rsidR="002F2786" w:rsidRDefault="002F2786" w:rsidP="002F2786">
      <w:pPr>
        <w:spacing w:line="276" w:lineRule="auto"/>
        <w:rPr>
          <w:rStyle w:val="lev"/>
          <w:rFonts w:cs="Times New Roman"/>
          <w:b w:val="0"/>
          <w:sz w:val="24"/>
        </w:rPr>
      </w:pPr>
      <w:r w:rsidRPr="002F2786">
        <w:rPr>
          <w:rStyle w:val="lev"/>
          <w:rFonts w:cs="Times New Roman"/>
          <w:b w:val="0"/>
          <w:szCs w:val="22"/>
        </w:rPr>
        <w:t>Les résultats seront présentés par culture</w:t>
      </w:r>
      <w:r w:rsidRPr="002F2786">
        <w:rPr>
          <w:rStyle w:val="lev"/>
          <w:rFonts w:cs="Times New Roman"/>
          <w:b w:val="0"/>
          <w:sz w:val="24"/>
        </w:rPr>
        <w:t>.</w:t>
      </w:r>
    </w:p>
    <w:p w:rsidR="002F2786" w:rsidRDefault="002F2786" w:rsidP="002F2786">
      <w:pPr>
        <w:spacing w:line="276" w:lineRule="auto"/>
        <w:rPr>
          <w:rStyle w:val="lev"/>
          <w:rFonts w:cs="Times New Roman"/>
          <w:b w:val="0"/>
          <w:color w:val="F79646" w:themeColor="accent6"/>
          <w:sz w:val="24"/>
        </w:rPr>
      </w:pPr>
      <w:r w:rsidRPr="002F2786">
        <w:rPr>
          <w:rStyle w:val="lev"/>
          <w:rFonts w:cs="Times New Roman"/>
          <w:b w:val="0"/>
          <w:color w:val="F79646" w:themeColor="accent6"/>
          <w:sz w:val="24"/>
        </w:rPr>
        <w:t>Les agrumes</w:t>
      </w:r>
    </w:p>
    <w:p w:rsidR="00F2647A" w:rsidRPr="00B74876" w:rsidRDefault="007F21E3" w:rsidP="00B74876">
      <w:pPr>
        <w:jc w:val="both"/>
        <w:rPr>
          <w:rStyle w:val="lev"/>
          <w:rFonts w:cs="Times New Roman"/>
          <w:b w:val="0"/>
          <w:szCs w:val="22"/>
        </w:rPr>
      </w:pPr>
      <w:r w:rsidRPr="00B74876">
        <w:rPr>
          <w:rStyle w:val="lev"/>
          <w:rFonts w:cs="Times New Roman"/>
          <w:b w:val="0"/>
          <w:szCs w:val="22"/>
        </w:rPr>
        <w:t xml:space="preserve">En 2015, la pression des bio-agresseurs a été relativement faible excepté </w:t>
      </w:r>
      <w:r w:rsidR="00A067E3">
        <w:rPr>
          <w:rStyle w:val="lev"/>
          <w:rFonts w:cs="Times New Roman"/>
          <w:b w:val="0"/>
          <w:szCs w:val="22"/>
        </w:rPr>
        <w:t>celle de</w:t>
      </w:r>
      <w:r w:rsidR="00D418E3">
        <w:rPr>
          <w:rStyle w:val="lev"/>
          <w:rFonts w:cs="Times New Roman"/>
          <w:b w:val="0"/>
          <w:szCs w:val="22"/>
        </w:rPr>
        <w:t xml:space="preserve"> la c</w:t>
      </w:r>
      <w:r w:rsidRPr="00B74876">
        <w:rPr>
          <w:rStyle w:val="lev"/>
          <w:rFonts w:cs="Times New Roman"/>
          <w:b w:val="0"/>
          <w:szCs w:val="22"/>
        </w:rPr>
        <w:t xml:space="preserve">ératite. Le seuil de nuisibilité (8 mouches/jour/piège) a été dépassé dans certains SdC. Par ailleurs, la parcelle de SRA </w:t>
      </w:r>
      <w:r w:rsidRPr="00B74876">
        <w:rPr>
          <w:rStyle w:val="lev"/>
          <w:rFonts w:cs="Times New Roman"/>
          <w:b w:val="0"/>
          <w:szCs w:val="22"/>
        </w:rPr>
        <w:lastRenderedPageBreak/>
        <w:t>85 reste très sensible à la présence de gommose parasitaire due à un sol hydromorphe empêchant</w:t>
      </w:r>
      <w:r w:rsidR="00D418E3">
        <w:rPr>
          <w:rStyle w:val="lev"/>
          <w:rFonts w:cs="Times New Roman"/>
          <w:b w:val="0"/>
          <w:szCs w:val="22"/>
        </w:rPr>
        <w:t xml:space="preserve"> l’évacuation des eaux de pluie</w:t>
      </w:r>
      <w:r w:rsidRPr="00B74876">
        <w:rPr>
          <w:rStyle w:val="lev"/>
          <w:rFonts w:cs="Times New Roman"/>
          <w:b w:val="0"/>
          <w:szCs w:val="22"/>
        </w:rPr>
        <w:t xml:space="preserve"> au printemps. </w:t>
      </w:r>
    </w:p>
    <w:p w:rsidR="00855F6A" w:rsidRPr="00B74876" w:rsidRDefault="007F21E3" w:rsidP="00B74876">
      <w:pPr>
        <w:jc w:val="both"/>
        <w:rPr>
          <w:rStyle w:val="lev"/>
          <w:rFonts w:cs="Times New Roman"/>
          <w:b w:val="0"/>
          <w:szCs w:val="22"/>
        </w:rPr>
      </w:pPr>
      <w:r w:rsidRPr="00B74876">
        <w:rPr>
          <w:rStyle w:val="lev"/>
          <w:rFonts w:cs="Times New Roman"/>
          <w:b w:val="0"/>
          <w:szCs w:val="22"/>
        </w:rPr>
        <w:t>Cette pression a entraîné l’augmentation des applications de produits phytosanitaires faisant légèrement augmenter l’IFT</w:t>
      </w:r>
      <w:r w:rsidR="00855F6A" w:rsidRPr="00B74876">
        <w:rPr>
          <w:rStyle w:val="lev"/>
          <w:rFonts w:cs="Times New Roman"/>
          <w:b w:val="0"/>
          <w:szCs w:val="22"/>
        </w:rPr>
        <w:t xml:space="preserve"> (dans le SdC 2 et 3)</w:t>
      </w:r>
      <w:r w:rsidRPr="00B74876">
        <w:rPr>
          <w:rStyle w:val="lev"/>
          <w:rFonts w:cs="Times New Roman"/>
          <w:b w:val="0"/>
          <w:szCs w:val="22"/>
        </w:rPr>
        <w:t xml:space="preserve"> par rapport à 2014. Cependant, les</w:t>
      </w:r>
      <w:r>
        <w:rPr>
          <w:rStyle w:val="lev"/>
          <w:rFonts w:cs="Times New Roman"/>
          <w:b w:val="0"/>
          <w:sz w:val="24"/>
        </w:rPr>
        <w:t xml:space="preserve"> </w:t>
      </w:r>
      <w:r w:rsidRPr="00B74876">
        <w:t>applications ont été raison</w:t>
      </w:r>
      <w:r w:rsidR="00D418E3">
        <w:t>nées</w:t>
      </w:r>
      <w:r w:rsidR="00855F6A" w:rsidRPr="00B74876">
        <w:t xml:space="preserve"> et le volume appliqué sur les arbres adapté</w:t>
      </w:r>
      <w:r w:rsidRPr="00B74876">
        <w:t xml:space="preserve"> afin de limiter cette augmentation.</w:t>
      </w:r>
      <w:r w:rsidR="00855F6A" w:rsidRPr="00B74876">
        <w:t xml:space="preserve"> Par ailleurs, un retard dans l’installation du nouvel outil de désherbage sur la</w:t>
      </w:r>
      <w:r w:rsidR="00855F6A">
        <w:rPr>
          <w:rStyle w:val="lev"/>
          <w:rFonts w:cs="Times New Roman"/>
          <w:b w:val="0"/>
          <w:sz w:val="24"/>
        </w:rPr>
        <w:t xml:space="preserve"> </w:t>
      </w:r>
      <w:r w:rsidR="00855F6A" w:rsidRPr="00B74876">
        <w:rPr>
          <w:rStyle w:val="lev"/>
          <w:rFonts w:cs="Times New Roman"/>
          <w:b w:val="0"/>
          <w:szCs w:val="22"/>
        </w:rPr>
        <w:t>Natura griff’</w:t>
      </w:r>
      <w:r w:rsidR="00855F6A" w:rsidRPr="00B74876">
        <w:rPr>
          <w:rStyle w:val="lev"/>
          <w:rFonts w:cs="Times New Roman"/>
          <w:b w:val="0"/>
          <w:szCs w:val="22"/>
          <w:vertAlign w:val="superscript"/>
        </w:rPr>
        <w:t>®</w:t>
      </w:r>
      <w:r w:rsidR="00855F6A" w:rsidRPr="00B74876">
        <w:rPr>
          <w:rStyle w:val="lev"/>
          <w:rFonts w:cs="Times New Roman"/>
          <w:b w:val="0"/>
          <w:szCs w:val="22"/>
        </w:rPr>
        <w:t xml:space="preserve"> n’a pa</w:t>
      </w:r>
      <w:r w:rsidR="00D418E3">
        <w:rPr>
          <w:rStyle w:val="lev"/>
          <w:rFonts w:cs="Times New Roman"/>
          <w:b w:val="0"/>
          <w:szCs w:val="22"/>
        </w:rPr>
        <w:t xml:space="preserve">s permis d’intégrer cet outil dans </w:t>
      </w:r>
      <w:r w:rsidR="00855F6A" w:rsidRPr="00B74876">
        <w:rPr>
          <w:rStyle w:val="lev"/>
          <w:rFonts w:cs="Times New Roman"/>
          <w:b w:val="0"/>
          <w:szCs w:val="22"/>
        </w:rPr>
        <w:t>l’itinéraire technique.</w:t>
      </w:r>
    </w:p>
    <w:p w:rsidR="007F21E3" w:rsidRPr="00B74876" w:rsidRDefault="00855F6A" w:rsidP="004E17D1">
      <w:pPr>
        <w:jc w:val="both"/>
        <w:rPr>
          <w:rStyle w:val="lev"/>
          <w:rFonts w:cs="Times New Roman"/>
          <w:b w:val="0"/>
          <w:szCs w:val="22"/>
        </w:rPr>
      </w:pPr>
      <w:r w:rsidRPr="00B74876">
        <w:rPr>
          <w:rStyle w:val="lev"/>
          <w:rFonts w:cs="Times New Roman"/>
          <w:b w:val="0"/>
          <w:szCs w:val="22"/>
        </w:rPr>
        <w:t xml:space="preserve">En ce qui concerne les indicateurs agronomiques, les qualités physico-chimiques sont les mêmes quelle que soit la modalité (conforme à l’IGP clémentines de Corse). Les rendements sont en baisse par rapport à </w:t>
      </w:r>
      <w:r w:rsidR="00E7464B">
        <w:rPr>
          <w:rStyle w:val="lev"/>
          <w:rFonts w:cs="Times New Roman"/>
          <w:b w:val="0"/>
          <w:szCs w:val="22"/>
        </w:rPr>
        <w:t xml:space="preserve">l’année dernière (peut-être dû </w:t>
      </w:r>
      <w:r w:rsidRPr="00B74876">
        <w:rPr>
          <w:rStyle w:val="lev"/>
          <w:rFonts w:cs="Times New Roman"/>
          <w:b w:val="0"/>
          <w:szCs w:val="22"/>
        </w:rPr>
        <w:t>à un phénomène d’alternance) mais r</w:t>
      </w:r>
      <w:r w:rsidR="00E7464B">
        <w:rPr>
          <w:rStyle w:val="lev"/>
          <w:rFonts w:cs="Times New Roman"/>
          <w:b w:val="0"/>
          <w:szCs w:val="22"/>
        </w:rPr>
        <w:t>estent au-dessus de la moyenne c</w:t>
      </w:r>
      <w:r w:rsidRPr="00B74876">
        <w:rPr>
          <w:rStyle w:val="lev"/>
          <w:rFonts w:cs="Times New Roman"/>
          <w:b w:val="0"/>
          <w:szCs w:val="22"/>
        </w:rPr>
        <w:t xml:space="preserve">orse (excepté sur la parcelle SRA 92). </w:t>
      </w:r>
      <w:r w:rsidR="004E17D1" w:rsidRPr="00B74876">
        <w:rPr>
          <w:rStyle w:val="lev"/>
          <w:rFonts w:cs="Times New Roman"/>
          <w:b w:val="0"/>
          <w:szCs w:val="22"/>
        </w:rPr>
        <w:t xml:space="preserve">Malgré une pression de certains ravageurs plus importante, les écarts sont équivalents à l’année 2014. </w:t>
      </w:r>
    </w:p>
    <w:p w:rsidR="004E17D1" w:rsidRPr="00B74876" w:rsidRDefault="004E17D1" w:rsidP="004E17D1">
      <w:pPr>
        <w:jc w:val="both"/>
        <w:rPr>
          <w:rStyle w:val="lev"/>
          <w:rFonts w:cs="Times New Roman"/>
          <w:b w:val="0"/>
          <w:szCs w:val="22"/>
        </w:rPr>
      </w:pPr>
      <w:r w:rsidRPr="00B74876">
        <w:rPr>
          <w:rStyle w:val="lev"/>
          <w:rFonts w:cs="Times New Roman"/>
          <w:b w:val="0"/>
          <w:szCs w:val="22"/>
        </w:rPr>
        <w:t xml:space="preserve">Les populations d’acariens Phytoseïdes utilisés comme indicateur environnemental ne semblent pas pertinentes. </w:t>
      </w:r>
      <w:r w:rsidR="00AA0778">
        <w:rPr>
          <w:rStyle w:val="lev"/>
          <w:rFonts w:cs="Times New Roman"/>
          <w:b w:val="0"/>
          <w:szCs w:val="22"/>
        </w:rPr>
        <w:t>Les quatre années d’expérimentation au lycée agricole ainsi que l</w:t>
      </w:r>
      <w:r w:rsidRPr="00B74876">
        <w:rPr>
          <w:rStyle w:val="lev"/>
          <w:rFonts w:cs="Times New Roman"/>
          <w:b w:val="0"/>
          <w:szCs w:val="22"/>
        </w:rPr>
        <w:t>e transfert vers le réseau ferme de cet indicateur, nous a permis de voir que les populations sont très faibles voire inexistantes sur l’ensemble des sites. Un changement de protocole ou d’indicateur doit être envisagé pour l’année suivante.</w:t>
      </w:r>
    </w:p>
    <w:p w:rsidR="004E17D1" w:rsidRPr="00B74876" w:rsidRDefault="004E17D1" w:rsidP="004E17D1">
      <w:pPr>
        <w:jc w:val="both"/>
        <w:rPr>
          <w:rStyle w:val="lev"/>
          <w:rFonts w:cs="Times New Roman"/>
          <w:b w:val="0"/>
          <w:szCs w:val="22"/>
        </w:rPr>
      </w:pPr>
      <w:r w:rsidRPr="00B74876">
        <w:rPr>
          <w:rStyle w:val="lev"/>
          <w:rFonts w:cs="Times New Roman"/>
          <w:b w:val="0"/>
          <w:szCs w:val="22"/>
        </w:rPr>
        <w:t xml:space="preserve">Cette année, la diminution de l’IFT entre les SdC n’est pas importante mais malgré des conditions moins favorables </w:t>
      </w:r>
      <w:r w:rsidR="00AA0778">
        <w:rPr>
          <w:rStyle w:val="lev"/>
          <w:rFonts w:cs="Times New Roman"/>
          <w:b w:val="0"/>
          <w:szCs w:val="22"/>
        </w:rPr>
        <w:t>l’IFT est sensiblement le même qu’en 2014 sur l’ensemble des parcelles</w:t>
      </w:r>
      <w:r w:rsidRPr="00B74876">
        <w:rPr>
          <w:rStyle w:val="lev"/>
          <w:rFonts w:cs="Times New Roman"/>
          <w:b w:val="0"/>
          <w:szCs w:val="22"/>
        </w:rPr>
        <w:t xml:space="preserve">. </w:t>
      </w:r>
    </w:p>
    <w:p w:rsidR="002F2786" w:rsidRDefault="002F2786" w:rsidP="002F2786">
      <w:pPr>
        <w:spacing w:line="276" w:lineRule="auto"/>
        <w:rPr>
          <w:rStyle w:val="lev"/>
          <w:rFonts w:cs="Times New Roman"/>
          <w:b w:val="0"/>
          <w:color w:val="00B050"/>
          <w:sz w:val="24"/>
        </w:rPr>
      </w:pPr>
      <w:r>
        <w:rPr>
          <w:rStyle w:val="lev"/>
          <w:rFonts w:cs="Times New Roman"/>
          <w:b w:val="0"/>
          <w:color w:val="00B050"/>
          <w:sz w:val="24"/>
        </w:rPr>
        <w:t>Les kiwis</w:t>
      </w:r>
    </w:p>
    <w:p w:rsidR="008107AA" w:rsidRPr="008F4D3D" w:rsidRDefault="008107AA" w:rsidP="008107AA">
      <w:pPr>
        <w:jc w:val="both"/>
        <w:rPr>
          <w:rStyle w:val="lev"/>
          <w:rFonts w:cs="Times New Roman"/>
          <w:b w:val="0"/>
          <w:szCs w:val="22"/>
        </w:rPr>
      </w:pPr>
      <w:r w:rsidRPr="008F4D3D">
        <w:rPr>
          <w:rStyle w:val="lev"/>
          <w:rFonts w:cs="Times New Roman"/>
          <w:b w:val="0"/>
          <w:szCs w:val="22"/>
        </w:rPr>
        <w:t xml:space="preserve">Depuis 2014, </w:t>
      </w:r>
      <w:r w:rsidR="00AA0778">
        <w:rPr>
          <w:rStyle w:val="lev"/>
          <w:rFonts w:cs="Times New Roman"/>
          <w:b w:val="0"/>
          <w:szCs w:val="22"/>
        </w:rPr>
        <w:t xml:space="preserve"> les</w:t>
      </w:r>
      <w:r w:rsidRPr="008F4D3D">
        <w:rPr>
          <w:rStyle w:val="lev"/>
          <w:rFonts w:cs="Times New Roman"/>
          <w:b w:val="0"/>
          <w:szCs w:val="22"/>
        </w:rPr>
        <w:t xml:space="preserve"> traitements insecticides ont été supprimés dans les modalités en réduction d’intrants et sans intrant. Cette année, aucun insecticide n’a été appliqué quelle que soit la modalité. La combinaison d’outil (Herbanet</w:t>
      </w:r>
      <w:r w:rsidRPr="008F4D3D">
        <w:rPr>
          <w:rStyle w:val="lev"/>
          <w:rFonts w:cs="Times New Roman"/>
          <w:b w:val="0"/>
          <w:szCs w:val="22"/>
          <w:vertAlign w:val="superscript"/>
        </w:rPr>
        <w:t xml:space="preserve"> ®</w:t>
      </w:r>
      <w:r w:rsidRPr="008F4D3D">
        <w:rPr>
          <w:rStyle w:val="lev"/>
          <w:rFonts w:cs="Times New Roman"/>
          <w:b w:val="0"/>
          <w:szCs w:val="22"/>
        </w:rPr>
        <w:t xml:space="preserve"> + brosse) permet de maîtrise</w:t>
      </w:r>
      <w:r w:rsidR="00AA0778">
        <w:rPr>
          <w:rStyle w:val="lev"/>
          <w:rFonts w:cs="Times New Roman"/>
          <w:b w:val="0"/>
          <w:szCs w:val="22"/>
        </w:rPr>
        <w:t>r les adventices sans multiplier</w:t>
      </w:r>
      <w:r w:rsidRPr="008F4D3D">
        <w:rPr>
          <w:rStyle w:val="lev"/>
          <w:rFonts w:cs="Times New Roman"/>
          <w:b w:val="0"/>
          <w:szCs w:val="22"/>
        </w:rPr>
        <w:t xml:space="preserve"> le nombre de passage. Ce qui permet d’obtenir un IFT global de 0 dans les SdC</w:t>
      </w:r>
      <w:r w:rsidR="00E7464B">
        <w:rPr>
          <w:rStyle w:val="lev"/>
          <w:rFonts w:cs="Times New Roman"/>
          <w:b w:val="0"/>
          <w:szCs w:val="22"/>
        </w:rPr>
        <w:t>s</w:t>
      </w:r>
      <w:r w:rsidRPr="008F4D3D">
        <w:rPr>
          <w:rStyle w:val="lev"/>
          <w:rFonts w:cs="Times New Roman"/>
          <w:b w:val="0"/>
          <w:szCs w:val="22"/>
        </w:rPr>
        <w:t xml:space="preserve"> 2 et 3.</w:t>
      </w:r>
    </w:p>
    <w:p w:rsidR="008107AA" w:rsidRPr="008F4D3D" w:rsidRDefault="008107AA" w:rsidP="008107AA">
      <w:pPr>
        <w:jc w:val="both"/>
        <w:rPr>
          <w:rStyle w:val="lev"/>
          <w:rFonts w:cs="Times New Roman"/>
          <w:b w:val="0"/>
          <w:szCs w:val="22"/>
        </w:rPr>
      </w:pPr>
      <w:r w:rsidRPr="008F4D3D">
        <w:rPr>
          <w:rStyle w:val="lev"/>
          <w:rFonts w:cs="Times New Roman"/>
          <w:b w:val="0"/>
          <w:szCs w:val="22"/>
        </w:rPr>
        <w:t xml:space="preserve">Au niveau agronomique et économique, les résultats montrent que les rendements sont </w:t>
      </w:r>
      <w:r w:rsidR="00F2647A" w:rsidRPr="008F4D3D">
        <w:rPr>
          <w:rStyle w:val="lev"/>
          <w:rFonts w:cs="Times New Roman"/>
          <w:b w:val="0"/>
          <w:szCs w:val="22"/>
        </w:rPr>
        <w:t>équivalents</w:t>
      </w:r>
      <w:r w:rsidRPr="008F4D3D">
        <w:rPr>
          <w:rStyle w:val="lev"/>
          <w:rFonts w:cs="Times New Roman"/>
          <w:b w:val="0"/>
          <w:szCs w:val="22"/>
        </w:rPr>
        <w:t xml:space="preserve"> dans toutes les modalités et que les écarts sont rarement dus à la présence de ravageurs dans les parcelles. De plus, les coûts de production sont sensiblement les mêmes dans tous les SdC</w:t>
      </w:r>
      <w:r w:rsidR="00E7464B">
        <w:rPr>
          <w:rStyle w:val="lev"/>
          <w:rFonts w:cs="Times New Roman"/>
          <w:b w:val="0"/>
          <w:szCs w:val="22"/>
        </w:rPr>
        <w:t>s</w:t>
      </w:r>
      <w:r w:rsidRPr="008F4D3D">
        <w:rPr>
          <w:rStyle w:val="lev"/>
          <w:rFonts w:cs="Times New Roman"/>
          <w:b w:val="0"/>
          <w:szCs w:val="22"/>
        </w:rPr>
        <w:t xml:space="preserve">. </w:t>
      </w:r>
    </w:p>
    <w:p w:rsidR="008107AA" w:rsidRPr="008F4D3D" w:rsidRDefault="008107AA" w:rsidP="008107AA">
      <w:pPr>
        <w:jc w:val="both"/>
        <w:rPr>
          <w:rStyle w:val="lev"/>
          <w:rFonts w:cs="Times New Roman"/>
          <w:b w:val="0"/>
          <w:szCs w:val="22"/>
        </w:rPr>
      </w:pPr>
      <w:r w:rsidRPr="008F4D3D">
        <w:rPr>
          <w:rStyle w:val="lev"/>
          <w:rFonts w:cs="Times New Roman"/>
          <w:b w:val="0"/>
          <w:szCs w:val="22"/>
        </w:rPr>
        <w:t xml:space="preserve">Par ailleurs, l’évolution dans la maîtrise des ravageurs </w:t>
      </w:r>
      <w:r w:rsidR="00E7464B">
        <w:rPr>
          <w:rStyle w:val="lev"/>
          <w:rFonts w:cs="Times New Roman"/>
          <w:b w:val="0"/>
          <w:szCs w:val="22"/>
        </w:rPr>
        <w:t xml:space="preserve">par des méthodes alternatives ou par la suppression des insecticides </w:t>
      </w:r>
      <w:r w:rsidRPr="008F4D3D">
        <w:rPr>
          <w:rStyle w:val="lev"/>
          <w:rFonts w:cs="Times New Roman"/>
          <w:b w:val="0"/>
          <w:szCs w:val="22"/>
        </w:rPr>
        <w:t>a permis une recolonisation des acariens prédateurs dans toutes les modalités.</w:t>
      </w:r>
    </w:p>
    <w:p w:rsidR="008107AA" w:rsidRDefault="000D3ABA" w:rsidP="008107AA">
      <w:pPr>
        <w:jc w:val="both"/>
        <w:rPr>
          <w:rStyle w:val="lev"/>
          <w:rFonts w:cs="Times New Roman"/>
          <w:b w:val="0"/>
          <w:szCs w:val="22"/>
        </w:rPr>
      </w:pPr>
      <w:r>
        <w:rPr>
          <w:rStyle w:val="lev"/>
          <w:rFonts w:cs="Times New Roman"/>
          <w:b w:val="0"/>
          <w:szCs w:val="22"/>
        </w:rPr>
        <w:t>Après quatre</w:t>
      </w:r>
      <w:r w:rsidR="008107AA" w:rsidRPr="008F4D3D">
        <w:rPr>
          <w:rStyle w:val="lev"/>
          <w:rFonts w:cs="Times New Roman"/>
          <w:b w:val="0"/>
          <w:szCs w:val="22"/>
        </w:rPr>
        <w:t xml:space="preserve"> ans d’</w:t>
      </w:r>
      <w:r w:rsidR="00F2647A" w:rsidRPr="008F4D3D">
        <w:rPr>
          <w:rStyle w:val="lev"/>
          <w:rFonts w:cs="Times New Roman"/>
          <w:b w:val="0"/>
          <w:szCs w:val="22"/>
        </w:rPr>
        <w:t>expérimentation</w:t>
      </w:r>
      <w:r w:rsidR="008107AA" w:rsidRPr="008F4D3D">
        <w:rPr>
          <w:rStyle w:val="lev"/>
          <w:rFonts w:cs="Times New Roman"/>
          <w:b w:val="0"/>
          <w:szCs w:val="22"/>
        </w:rPr>
        <w:t>, l’</w:t>
      </w:r>
      <w:r w:rsidR="00F2647A" w:rsidRPr="008F4D3D">
        <w:rPr>
          <w:rStyle w:val="lev"/>
          <w:rFonts w:cs="Times New Roman"/>
          <w:b w:val="0"/>
          <w:szCs w:val="22"/>
        </w:rPr>
        <w:t>itinéraire</w:t>
      </w:r>
      <w:r w:rsidR="008107AA" w:rsidRPr="008F4D3D">
        <w:rPr>
          <w:rStyle w:val="lev"/>
          <w:rFonts w:cs="Times New Roman"/>
          <w:b w:val="0"/>
          <w:szCs w:val="22"/>
        </w:rPr>
        <w:t xml:space="preserve"> technique mis en place a permis d’atte</w:t>
      </w:r>
      <w:r>
        <w:rPr>
          <w:rStyle w:val="lev"/>
          <w:rFonts w:cs="Times New Roman"/>
          <w:b w:val="0"/>
          <w:szCs w:val="22"/>
        </w:rPr>
        <w:t>indre tous les objectifs envisagés</w:t>
      </w:r>
      <w:r w:rsidR="008107AA" w:rsidRPr="008F4D3D">
        <w:rPr>
          <w:rStyle w:val="lev"/>
          <w:rFonts w:cs="Times New Roman"/>
          <w:b w:val="0"/>
          <w:szCs w:val="22"/>
        </w:rPr>
        <w:t xml:space="preserve"> en début de projet. </w:t>
      </w:r>
      <w:r w:rsidR="00F2647A" w:rsidRPr="008F4D3D">
        <w:rPr>
          <w:rStyle w:val="lev"/>
          <w:rFonts w:cs="Times New Roman"/>
          <w:b w:val="0"/>
          <w:szCs w:val="22"/>
        </w:rPr>
        <w:t>Ces résultats très encourageants sont contrastés par le manque de sites sur lesquels transposés la méthode. En effet, pour valider complètement l’itinéraire technique il devrait être testé sur plusieurs parcelles (avec des pressions de bio-agresseurs différents et des contraintes environnementales différentes).</w:t>
      </w:r>
      <w:r>
        <w:rPr>
          <w:rStyle w:val="lev"/>
          <w:rFonts w:cs="Times New Roman"/>
          <w:b w:val="0"/>
          <w:szCs w:val="22"/>
        </w:rPr>
        <w:t xml:space="preserve"> Ce qui ne pourra pas se faire car les cultures de kiwi depuis la réponse à l’Appel à projets en 2011 ont régressées, au point de ne pas trouver des partenaires prêts à s’engager dans une démarche de réduction d’intrants.</w:t>
      </w:r>
    </w:p>
    <w:p w:rsidR="002F2786" w:rsidRPr="002F2786" w:rsidRDefault="002F2786" w:rsidP="002F2786">
      <w:pPr>
        <w:spacing w:line="276" w:lineRule="auto"/>
        <w:rPr>
          <w:rStyle w:val="lev"/>
          <w:rFonts w:cs="Times New Roman"/>
          <w:b w:val="0"/>
          <w:color w:val="7030A0"/>
          <w:sz w:val="24"/>
        </w:rPr>
      </w:pPr>
      <w:r>
        <w:rPr>
          <w:rStyle w:val="lev"/>
          <w:rFonts w:cs="Times New Roman"/>
          <w:b w:val="0"/>
          <w:color w:val="7030A0"/>
          <w:sz w:val="24"/>
        </w:rPr>
        <w:t>La vigne</w:t>
      </w:r>
    </w:p>
    <w:p w:rsidR="00182383" w:rsidRDefault="00182383" w:rsidP="00182383">
      <w:pPr>
        <w:jc w:val="both"/>
      </w:pPr>
      <w:r>
        <w:t>Le millésime 2015 a été semblable aux  millésimes 2012 et 2013 du point de vue pression phytosanitaire qui s’est avérée faible voire inexistante, comme en attestent les notations faites sur la modalité « témoin non traité ».</w:t>
      </w:r>
    </w:p>
    <w:p w:rsidR="00827897" w:rsidRDefault="00182383" w:rsidP="00182383">
      <w:pPr>
        <w:jc w:val="both"/>
      </w:pPr>
      <w:r>
        <w:t>La diminution des doses de produits phytosanitaires n’a pas impacté la qualité de la vendange, celle-ci était saine, correspond</w:t>
      </w:r>
      <w:r w:rsidR="00885F5E">
        <w:t>ant aux objectifs de production</w:t>
      </w:r>
      <w:r>
        <w:t>, quelle que soit la modalité. Dans ce contexte de faible pression, sur cette parcelle, la réduction d’intrant se justifie pleinement.</w:t>
      </w:r>
      <w:r w:rsidR="00827897" w:rsidRPr="00827897">
        <w:t xml:space="preserve"> </w:t>
      </w:r>
    </w:p>
    <w:p w:rsidR="00182383" w:rsidRDefault="00827897" w:rsidP="00182383">
      <w:pPr>
        <w:jc w:val="both"/>
      </w:pPr>
      <w:r>
        <w:t>Lorsque le millésime se caractérise par une pression mildiou et/ou oïdium faible à modérée, dans des conditions pédoclimatiques identiques à celles de la parcelle « dephy expe », sur cépage Vermentinu</w:t>
      </w:r>
      <w:r w:rsidR="00E945AC">
        <w:t>,</w:t>
      </w:r>
      <w:r>
        <w:t xml:space="preserve"> il est possible d’envisager une protection sanitaire réduite par rapport à un calendrier de traitement classique, tout en garantissant l’intégrité de la récolte.</w:t>
      </w:r>
    </w:p>
    <w:p w:rsidR="002F2786" w:rsidRPr="00182383" w:rsidRDefault="00182383" w:rsidP="00182383">
      <w:pPr>
        <w:tabs>
          <w:tab w:val="left" w:pos="3375"/>
        </w:tabs>
        <w:jc w:val="both"/>
        <w:rPr>
          <w:i/>
        </w:rPr>
      </w:pPr>
      <w:r>
        <w:rPr>
          <w:i/>
        </w:rPr>
        <w:lastRenderedPageBreak/>
        <w:t xml:space="preserve">Les observations faites sur la parcelle de Vermentinu « Dephy expe » et les conclusions qui en découlent sont valables pour ce domaine, cette parcelle et sur ce cépage, dans les conditions du millésime 2015. </w:t>
      </w:r>
      <w:r w:rsidR="00E945AC">
        <w:rPr>
          <w:i/>
        </w:rPr>
        <w:t>Il se peut que ceci ne soit</w:t>
      </w:r>
      <w:r>
        <w:rPr>
          <w:i/>
        </w:rPr>
        <w:t xml:space="preserve"> pas reproductible dans toutes les régions ni sur tous les cépages.</w:t>
      </w:r>
    </w:p>
    <w:p w:rsidR="002F2786" w:rsidRDefault="002F2786" w:rsidP="002F2786">
      <w:pPr>
        <w:pStyle w:val="Titre3"/>
        <w:numPr>
          <w:ilvl w:val="0"/>
          <w:numId w:val="41"/>
        </w:numPr>
      </w:pPr>
      <w:bookmarkStart w:id="19" w:name="_Toc446344572"/>
      <w:r>
        <w:t>L’après Déphy Expé</w:t>
      </w:r>
      <w:bookmarkEnd w:id="19"/>
    </w:p>
    <w:p w:rsidR="00895A11" w:rsidRPr="00895A11" w:rsidRDefault="00895A11" w:rsidP="00895A11">
      <w:pPr>
        <w:rPr>
          <w:color w:val="F79646" w:themeColor="accent6"/>
          <w:lang w:eastAsia="en-US"/>
        </w:rPr>
      </w:pPr>
      <w:r w:rsidRPr="00895A11">
        <w:rPr>
          <w:color w:val="F79646" w:themeColor="accent6"/>
          <w:lang w:eastAsia="en-US"/>
        </w:rPr>
        <w:t>Les agrumes </w:t>
      </w:r>
    </w:p>
    <w:p w:rsidR="00C53E96" w:rsidRDefault="00C21B3A" w:rsidP="00C53E96">
      <w:pPr>
        <w:jc w:val="both"/>
        <w:rPr>
          <w:lang w:eastAsia="en-US"/>
        </w:rPr>
      </w:pPr>
      <w:r>
        <w:rPr>
          <w:lang w:eastAsia="en-US"/>
        </w:rPr>
        <w:t>Les  quatre premières années d’expérimentation nous ont permis de voi</w:t>
      </w:r>
      <w:r w:rsidR="00AA0778">
        <w:rPr>
          <w:lang w:eastAsia="en-US"/>
        </w:rPr>
        <w:t>r que les voies</w:t>
      </w:r>
      <w:r>
        <w:rPr>
          <w:lang w:eastAsia="en-US"/>
        </w:rPr>
        <w:t xml:space="preserve"> d’amélioration sont encore nombreuses pour la culture de clémentiniers. Notamment au niveau de la gestion de l’enherbement. De nombreux</w:t>
      </w:r>
      <w:r w:rsidR="00AA0778">
        <w:rPr>
          <w:lang w:eastAsia="en-US"/>
        </w:rPr>
        <w:t xml:space="preserve"> outils et méthodes n’ont pas encore</w:t>
      </w:r>
      <w:r>
        <w:rPr>
          <w:lang w:eastAsia="en-US"/>
        </w:rPr>
        <w:t xml:space="preserve"> être testés car les contraintes liées au site étaient importantes.</w:t>
      </w:r>
    </w:p>
    <w:p w:rsidR="00895A11" w:rsidRDefault="00C53E96" w:rsidP="00784F2E">
      <w:pPr>
        <w:jc w:val="both"/>
        <w:rPr>
          <w:lang w:eastAsia="en-US"/>
        </w:rPr>
      </w:pPr>
      <w:r>
        <w:rPr>
          <w:lang w:eastAsia="en-US"/>
        </w:rPr>
        <w:t>En effet, il serait intéressant travailler plus précisément sur la gestion de l’enherbement. Dans le cadre du projet Dephy Expé, la diminution des herbicides est passée par soit une réduction de la surface traitée soit l’utilisation de machines à désherber. L’AREFLEC a mis en place des expérimentations sur différentes méthodes de gestion de l’enherbement (méthode sandwich, enherbement permanent) mais aucune n’a encore été testée au sein d’un itinéraire cultural.</w:t>
      </w:r>
      <w:r w:rsidR="00182383">
        <w:rPr>
          <w:lang w:eastAsia="en-US"/>
        </w:rPr>
        <w:t xml:space="preserve"> Les projets Dephy Expé sont</w:t>
      </w:r>
      <w:r>
        <w:rPr>
          <w:lang w:eastAsia="en-US"/>
        </w:rPr>
        <w:t xml:space="preserve"> un bon support afin d’intégrer ces méthodes aux itinéraires culturaux.  De plus, les effets bénéfiques au niveau de la faune auxiliaire de telles méthodes n’ont jamais été mesurés (accueil d’insectes auxiliaires dans les zones enherbées).</w:t>
      </w:r>
    </w:p>
    <w:p w:rsidR="001742B8" w:rsidRDefault="00C21B3A" w:rsidP="00C21B3A">
      <w:pPr>
        <w:jc w:val="both"/>
        <w:rPr>
          <w:lang w:eastAsia="en-US"/>
        </w:rPr>
      </w:pPr>
      <w:r>
        <w:rPr>
          <w:lang w:eastAsia="en-US"/>
        </w:rPr>
        <w:t xml:space="preserve">Par ailleurs, pour de nombreux ravageurs aucun modèle ou seuil n’existent. Les règles de décisions créées dans le cadre du projet ne sont valables que sur le site d’expérimentation et ne représente pas une règle adaptable pour les producteurs. Il serait donc intéressant de développer les règles de décisions dans le Réseau Ferme par exemple afin de confronter ses règles </w:t>
      </w:r>
      <w:r w:rsidR="00226643">
        <w:rPr>
          <w:lang w:eastAsia="en-US"/>
        </w:rPr>
        <w:t>à</w:t>
      </w:r>
      <w:r>
        <w:rPr>
          <w:lang w:eastAsia="en-US"/>
        </w:rPr>
        <w:t xml:space="preserve"> différents environnements.</w:t>
      </w:r>
      <w:r w:rsidR="00226643">
        <w:rPr>
          <w:lang w:eastAsia="en-US"/>
        </w:rPr>
        <w:t xml:space="preserve"> </w:t>
      </w:r>
    </w:p>
    <w:p w:rsidR="00895A11" w:rsidRPr="00895A11" w:rsidRDefault="00895A11" w:rsidP="00AE2CF7">
      <w:pPr>
        <w:suppressAutoHyphens w:val="0"/>
        <w:spacing w:after="0" w:line="276" w:lineRule="auto"/>
        <w:jc w:val="both"/>
        <w:rPr>
          <w:rFonts w:cs="Times New Roman"/>
          <w:color w:val="00B050"/>
          <w:sz w:val="24"/>
          <w:lang w:eastAsia="fr-FR"/>
        </w:rPr>
      </w:pPr>
      <w:r w:rsidRPr="00895A11">
        <w:rPr>
          <w:rFonts w:cs="Times New Roman"/>
          <w:color w:val="00B050"/>
          <w:sz w:val="24"/>
          <w:lang w:eastAsia="fr-FR"/>
        </w:rPr>
        <w:t>Les kiwis </w:t>
      </w:r>
    </w:p>
    <w:p w:rsidR="008C33CC" w:rsidRDefault="00EF20ED" w:rsidP="00895A11">
      <w:pPr>
        <w:jc w:val="both"/>
        <w:rPr>
          <w:lang w:eastAsia="fr-FR"/>
        </w:rPr>
      </w:pPr>
      <w:r>
        <w:rPr>
          <w:lang w:eastAsia="fr-FR"/>
        </w:rPr>
        <w:t xml:space="preserve">Les années d’expérimentations réalisées sur kiwis nous ont permis d’obtenir des références intéressantes. La diminution d’intrants a particulièrement été possible sur cette culture. Ces résultats très encourageants restent cependant difficiles à extrapoler étant donné que l’expérimentation n’a été réalisée que sur un site. En effet, aucun réseau Ferme kiwi n’a été créé. Il aurait été intéressant de tester les leviers d’action sur d’autres parcelles de producteurs avec des niveaux de pression ravageurs différents et des contraintes différentes. La validation d’un système de culture ne peut passer que par le test </w:t>
      </w:r>
      <w:r w:rsidR="001742B8">
        <w:rPr>
          <w:lang w:eastAsia="fr-FR"/>
        </w:rPr>
        <w:t>dans des conditions environnementales contrastées</w:t>
      </w:r>
      <w:r w:rsidR="008D6BA9">
        <w:rPr>
          <w:lang w:eastAsia="fr-FR"/>
        </w:rPr>
        <w:t xml:space="preserve">. Mais le fait d’avoir choisie une parcelle dans une zone de production du kiwi et une variété qui est plus communément cultivée, peut nous laisser espérer que ces résultats sont adaptables </w:t>
      </w:r>
    </w:p>
    <w:p w:rsidR="00182383" w:rsidRDefault="00182383" w:rsidP="00895A11">
      <w:pPr>
        <w:jc w:val="both"/>
        <w:rPr>
          <w:color w:val="7030A0"/>
          <w:lang w:eastAsia="fr-FR"/>
        </w:rPr>
      </w:pPr>
      <w:r>
        <w:rPr>
          <w:color w:val="7030A0"/>
          <w:lang w:eastAsia="fr-FR"/>
        </w:rPr>
        <w:t>La vigne</w:t>
      </w:r>
    </w:p>
    <w:p w:rsidR="00182383" w:rsidRPr="00182383" w:rsidRDefault="00182383" w:rsidP="00182383">
      <w:pPr>
        <w:jc w:val="both"/>
        <w:rPr>
          <w:color w:val="7030A0"/>
          <w:lang w:eastAsia="fr-FR"/>
        </w:rPr>
      </w:pPr>
      <w:r>
        <w:t>L’expérimentation continue dans un nouveau contexte, celui de l’agriculture biologique, en maintenant les notions de « pleine dose » et « réduction de dose».</w:t>
      </w:r>
    </w:p>
    <w:p w:rsidR="00182383" w:rsidRDefault="00182383" w:rsidP="00182383">
      <w:pPr>
        <w:jc w:val="both"/>
      </w:pPr>
      <w:r w:rsidRPr="00182383">
        <w:rPr>
          <w:u w:val="single"/>
        </w:rPr>
        <w:t>Points de blocage dans l’interprétation des données</w:t>
      </w:r>
      <w:r>
        <w:t xml:space="preserve"> : </w:t>
      </w:r>
    </w:p>
    <w:p w:rsidR="00182383" w:rsidRDefault="008D6BA9" w:rsidP="00182383">
      <w:pPr>
        <w:jc w:val="both"/>
      </w:pPr>
      <w:r>
        <w:t>La pa</w:t>
      </w:r>
      <w:r w:rsidR="00492628">
        <w:t>r</w:t>
      </w:r>
      <w:r>
        <w:t>tie</w:t>
      </w:r>
      <w:r w:rsidR="00182383">
        <w:t xml:space="preserve"> vigne </w:t>
      </w:r>
      <w:r>
        <w:t>du projet Déphy expé</w:t>
      </w:r>
      <w:r w:rsidR="00492628">
        <w:t xml:space="preserve"> </w:t>
      </w:r>
      <w:r w:rsidR="00182383">
        <w:t>se déroule, rappelons-le, chez un vit</w:t>
      </w:r>
      <w:r w:rsidR="00492628">
        <w:t>iculteur</w:t>
      </w:r>
      <w:r w:rsidR="00182383">
        <w:t>, le principe étant de comparer une modalité « réduction » à une modalité « pleine dose ».</w:t>
      </w:r>
    </w:p>
    <w:p w:rsidR="00182383" w:rsidRDefault="00182383" w:rsidP="00182383">
      <w:pPr>
        <w:jc w:val="both"/>
      </w:pPr>
      <w:r>
        <w:t>Les résultats sont pour l’instant publiés et  interprétés annuellement. Il parait d’ores et déjà difficile, pour certains indicateurs, de pouvoir émettre des conclusions au terme de l’expérimentation : de 20</w:t>
      </w:r>
      <w:r w:rsidR="00492628">
        <w:t>12 à 2015, l’exploitation a eu trois</w:t>
      </w:r>
      <w:r>
        <w:t xml:space="preserve"> chefs de culture différents, il est délicat d’affirmer qu’il y a eu une « constance » dans les règles de décisions depuis le début de l’expérimentation. </w:t>
      </w:r>
    </w:p>
    <w:p w:rsidR="001742B8" w:rsidRDefault="001742B8" w:rsidP="00895A11">
      <w:pPr>
        <w:jc w:val="both"/>
        <w:rPr>
          <w:lang w:eastAsia="fr-FR"/>
        </w:rPr>
      </w:pPr>
    </w:p>
    <w:p w:rsidR="00EF20ED" w:rsidRDefault="00EF20ED" w:rsidP="00AE2CF7">
      <w:pPr>
        <w:suppressAutoHyphens w:val="0"/>
        <w:spacing w:after="0" w:line="276" w:lineRule="auto"/>
        <w:jc w:val="both"/>
        <w:rPr>
          <w:rFonts w:cs="Times New Roman"/>
          <w:sz w:val="24"/>
          <w:lang w:eastAsia="fr-FR"/>
        </w:rPr>
      </w:pPr>
    </w:p>
    <w:p w:rsidR="00895A11" w:rsidRPr="005F070D" w:rsidRDefault="00895A11" w:rsidP="00AE2CF7">
      <w:pPr>
        <w:suppressAutoHyphens w:val="0"/>
        <w:spacing w:after="0" w:line="276" w:lineRule="auto"/>
        <w:jc w:val="both"/>
        <w:rPr>
          <w:rFonts w:cs="Times New Roman"/>
          <w:sz w:val="24"/>
          <w:lang w:eastAsia="fr-FR"/>
        </w:rPr>
      </w:pPr>
    </w:p>
    <w:p w:rsidR="00224E32" w:rsidRPr="005F070D" w:rsidRDefault="00224E32" w:rsidP="00AE2CF7">
      <w:pPr>
        <w:suppressAutoHyphens w:val="0"/>
        <w:spacing w:after="0" w:line="276" w:lineRule="auto"/>
        <w:jc w:val="both"/>
        <w:rPr>
          <w:rFonts w:cs="Times New Roman"/>
          <w:sz w:val="24"/>
          <w:lang w:eastAsia="fr-FR"/>
        </w:rPr>
      </w:pPr>
    </w:p>
    <w:p w:rsidR="00422F2D" w:rsidRPr="005F070D" w:rsidRDefault="00B97AA2" w:rsidP="00AE2CF7">
      <w:pPr>
        <w:tabs>
          <w:tab w:val="left" w:pos="284"/>
        </w:tabs>
        <w:spacing w:line="276" w:lineRule="auto"/>
        <w:rPr>
          <w:rFonts w:cs="Times New Roman"/>
          <w:b/>
          <w:sz w:val="24"/>
        </w:rPr>
      </w:pPr>
      <w:r w:rsidRPr="005F070D">
        <w:rPr>
          <w:rFonts w:cs="Times New Roman"/>
          <w:b/>
          <w:sz w:val="24"/>
        </w:rPr>
        <w:br w:type="page"/>
      </w:r>
    </w:p>
    <w:p w:rsidR="00696982" w:rsidRPr="007B16C5" w:rsidRDefault="00F3295A" w:rsidP="00AE2CF7">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4"/>
        </w:rPr>
      </w:pPr>
      <w:r w:rsidRPr="005F070D">
        <w:rPr>
          <w:rFonts w:cs="Times New Roman"/>
          <w:b/>
          <w:sz w:val="24"/>
        </w:rPr>
        <w:lastRenderedPageBreak/>
        <w:t>A L’ECHELLE</w:t>
      </w:r>
      <w:r w:rsidR="00F757EF" w:rsidRPr="005F070D">
        <w:rPr>
          <w:rFonts w:cs="Times New Roman"/>
          <w:b/>
          <w:sz w:val="24"/>
        </w:rPr>
        <w:t xml:space="preserve"> DES SITES EXPERIMENTAUX</w:t>
      </w:r>
    </w:p>
    <w:p w:rsidR="00DE4B63" w:rsidRPr="007B16C5" w:rsidRDefault="00F62239" w:rsidP="00AE2CF7">
      <w:pPr>
        <w:pStyle w:val="Titre1"/>
        <w:numPr>
          <w:ilvl w:val="0"/>
          <w:numId w:val="35"/>
        </w:numPr>
        <w:spacing w:line="276" w:lineRule="auto"/>
        <w:rPr>
          <w:rFonts w:ascii="Times New Roman" w:hAnsi="Times New Roman"/>
        </w:rPr>
      </w:pPr>
      <w:bookmarkStart w:id="20" w:name="_Toc446344573"/>
      <w:r w:rsidRPr="007B16C5">
        <w:rPr>
          <w:rFonts w:ascii="Times New Roman" w:hAnsi="Times New Roman"/>
        </w:rPr>
        <w:t>Dispositif expérimental et description du milieu</w:t>
      </w:r>
      <w:bookmarkEnd w:id="20"/>
      <w:r w:rsidRPr="007B16C5">
        <w:rPr>
          <w:rFonts w:ascii="Times New Roman" w:hAnsi="Times New Roman"/>
        </w:rPr>
        <w:t xml:space="preserve"> </w:t>
      </w:r>
    </w:p>
    <w:p w:rsidR="00426F0D" w:rsidRPr="005F070D" w:rsidRDefault="00426F0D" w:rsidP="00AE2CF7">
      <w:pPr>
        <w:spacing w:line="276" w:lineRule="auto"/>
        <w:rPr>
          <w:rFonts w:cs="Times New Roman"/>
          <w:sz w:val="24"/>
          <w:lang w:eastAsia="en-US"/>
        </w:rPr>
      </w:pPr>
    </w:p>
    <w:p w:rsidR="007B16C5" w:rsidRPr="00D71E3F" w:rsidRDefault="0066651A" w:rsidP="00AE2CF7">
      <w:pPr>
        <w:tabs>
          <w:tab w:val="left" w:pos="284"/>
        </w:tabs>
        <w:spacing w:line="276" w:lineRule="auto"/>
        <w:jc w:val="both"/>
        <w:rPr>
          <w:rFonts w:cs="Times New Roman"/>
          <w:szCs w:val="22"/>
        </w:rPr>
      </w:pPr>
      <w:r>
        <w:rPr>
          <w:rFonts w:cs="Times New Roman"/>
          <w:szCs w:val="22"/>
        </w:rPr>
        <w:t>En 2015</w:t>
      </w:r>
      <w:r w:rsidR="00131A80" w:rsidRPr="007B16C5">
        <w:rPr>
          <w:rFonts w:cs="Times New Roman"/>
          <w:szCs w:val="22"/>
        </w:rPr>
        <w:t>, l</w:t>
      </w:r>
      <w:r w:rsidR="00DD75A2" w:rsidRPr="007B16C5">
        <w:rPr>
          <w:rFonts w:cs="Times New Roman"/>
          <w:szCs w:val="22"/>
        </w:rPr>
        <w:t>e dispositif expérimental et l’environnement sont les mêmes pour les parcelles de clémentines</w:t>
      </w:r>
      <w:r w:rsidR="00D71E3F">
        <w:rPr>
          <w:rFonts w:cs="Times New Roman"/>
          <w:szCs w:val="22"/>
        </w:rPr>
        <w:t>,</w:t>
      </w:r>
      <w:r w:rsidR="00131A80" w:rsidRPr="007B16C5">
        <w:rPr>
          <w:rFonts w:cs="Times New Roman"/>
          <w:szCs w:val="22"/>
        </w:rPr>
        <w:t xml:space="preserve"> de kiwis</w:t>
      </w:r>
      <w:r w:rsidR="00D71E3F">
        <w:rPr>
          <w:rFonts w:cs="Times New Roman"/>
          <w:szCs w:val="22"/>
        </w:rPr>
        <w:t xml:space="preserve"> et de vigne</w:t>
      </w:r>
      <w:r w:rsidR="00131A80" w:rsidRPr="007B16C5">
        <w:rPr>
          <w:rFonts w:cs="Times New Roman"/>
          <w:szCs w:val="22"/>
        </w:rPr>
        <w:t xml:space="preserve"> que l’ann</w:t>
      </w:r>
      <w:r w:rsidR="00D71E3F">
        <w:rPr>
          <w:rFonts w:cs="Times New Roman"/>
          <w:szCs w:val="22"/>
        </w:rPr>
        <w:t>ée précédente</w:t>
      </w:r>
    </w:p>
    <w:p w:rsidR="005F3EEC" w:rsidRPr="007B16C5" w:rsidRDefault="00F62239" w:rsidP="00AE2CF7">
      <w:pPr>
        <w:pStyle w:val="Titre1"/>
        <w:numPr>
          <w:ilvl w:val="0"/>
          <w:numId w:val="35"/>
        </w:numPr>
        <w:spacing w:line="276" w:lineRule="auto"/>
        <w:rPr>
          <w:rFonts w:ascii="Times New Roman" w:hAnsi="Times New Roman"/>
        </w:rPr>
      </w:pPr>
      <w:bookmarkStart w:id="21" w:name="_Toc446344574"/>
      <w:r w:rsidRPr="007B16C5">
        <w:rPr>
          <w:rFonts w:ascii="Times New Roman" w:hAnsi="Times New Roman"/>
        </w:rPr>
        <w:t>Bilan de la campagne</w:t>
      </w:r>
      <w:bookmarkEnd w:id="21"/>
    </w:p>
    <w:p w:rsidR="00426F0D" w:rsidRPr="005F070D" w:rsidRDefault="00426F0D" w:rsidP="00AE2CF7">
      <w:pPr>
        <w:spacing w:line="276" w:lineRule="auto"/>
        <w:rPr>
          <w:rFonts w:cs="Times New Roman"/>
          <w:sz w:val="24"/>
          <w:lang w:eastAsia="en-US"/>
        </w:rPr>
      </w:pPr>
    </w:p>
    <w:p w:rsidR="00674AF5" w:rsidRPr="007B16C5" w:rsidRDefault="0040739B" w:rsidP="00AE2CF7">
      <w:pPr>
        <w:tabs>
          <w:tab w:val="left" w:pos="284"/>
        </w:tabs>
        <w:spacing w:line="276" w:lineRule="auto"/>
        <w:jc w:val="both"/>
        <w:rPr>
          <w:rFonts w:cs="Times New Roman"/>
          <w:szCs w:val="22"/>
        </w:rPr>
      </w:pPr>
      <w:r w:rsidRPr="007B16C5">
        <w:rPr>
          <w:rFonts w:cs="Times New Roman"/>
          <w:szCs w:val="22"/>
        </w:rPr>
        <w:t>Les résultats seront présentés par parcelles et par variété avec une comparaison des systèmes de culture pour chaque indicateur.</w:t>
      </w:r>
    </w:p>
    <w:p w:rsidR="000824F8" w:rsidRPr="005F070D" w:rsidRDefault="0040739B" w:rsidP="00AE2CF7">
      <w:pPr>
        <w:pStyle w:val="Titre3"/>
        <w:numPr>
          <w:ilvl w:val="0"/>
          <w:numId w:val="33"/>
        </w:numPr>
        <w:spacing w:line="276" w:lineRule="auto"/>
        <w:rPr>
          <w:rFonts w:ascii="Times New Roman" w:hAnsi="Times New Roman"/>
          <w:sz w:val="24"/>
          <w:szCs w:val="24"/>
        </w:rPr>
      </w:pPr>
      <w:bookmarkStart w:id="22" w:name="_Toc380653853"/>
      <w:bookmarkStart w:id="23" w:name="_Toc380998564"/>
      <w:bookmarkStart w:id="24" w:name="_Toc446344575"/>
      <w:r w:rsidRPr="005F070D">
        <w:rPr>
          <w:rFonts w:ascii="Times New Roman" w:hAnsi="Times New Roman"/>
          <w:sz w:val="24"/>
          <w:szCs w:val="24"/>
        </w:rPr>
        <w:t>Les agrumes</w:t>
      </w:r>
      <w:bookmarkEnd w:id="22"/>
      <w:bookmarkEnd w:id="23"/>
      <w:bookmarkEnd w:id="24"/>
    </w:p>
    <w:p w:rsidR="006509DF" w:rsidRPr="005F070D" w:rsidRDefault="006509DF" w:rsidP="00AE2CF7">
      <w:pPr>
        <w:spacing w:line="276" w:lineRule="auto"/>
        <w:rPr>
          <w:rFonts w:cs="Times New Roman"/>
          <w:sz w:val="24"/>
          <w:lang w:eastAsia="en-US"/>
        </w:rPr>
      </w:pPr>
    </w:p>
    <w:p w:rsidR="006509DF" w:rsidRPr="005F070D" w:rsidRDefault="006509DF" w:rsidP="00AE2CF7">
      <w:pPr>
        <w:spacing w:line="276" w:lineRule="auto"/>
        <w:rPr>
          <w:rFonts w:cs="Times New Roman"/>
          <w:b/>
          <w:sz w:val="24"/>
          <w:lang w:eastAsia="en-US"/>
        </w:rPr>
      </w:pPr>
      <w:r w:rsidRPr="005F070D">
        <w:rPr>
          <w:rFonts w:cs="Times New Roman"/>
          <w:b/>
          <w:sz w:val="24"/>
          <w:lang w:eastAsia="en-US"/>
        </w:rPr>
        <w:t>Données climatiques</w:t>
      </w:r>
      <w:r w:rsidR="00492628">
        <w:rPr>
          <w:rFonts w:cs="Times New Roman"/>
          <w:b/>
          <w:sz w:val="24"/>
          <w:lang w:eastAsia="en-US"/>
        </w:rPr>
        <w:t xml:space="preserve"> de la région de Borgo</w:t>
      </w:r>
    </w:p>
    <w:p w:rsidR="006509DF" w:rsidRPr="005F070D" w:rsidRDefault="003F6CC4" w:rsidP="00AE2CF7">
      <w:pPr>
        <w:keepNext/>
        <w:spacing w:line="276" w:lineRule="auto"/>
        <w:rPr>
          <w:rFonts w:cs="Times New Roman"/>
          <w:sz w:val="24"/>
        </w:rPr>
      </w:pPr>
      <w:r>
        <w:rPr>
          <w:noProof/>
          <w:lang w:eastAsia="fr-FR"/>
        </w:rPr>
        <w:drawing>
          <wp:inline distT="0" distB="0" distL="0" distR="0" wp14:anchorId="78A6AB17" wp14:editId="2CFE7A42">
            <wp:extent cx="5758815" cy="3240000"/>
            <wp:effectExtent l="0" t="0" r="13335" b="1778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509DF" w:rsidRPr="005F070D" w:rsidRDefault="006509DF"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1</w:t>
      </w:r>
      <w:r w:rsidR="008F72D3">
        <w:rPr>
          <w:noProof/>
        </w:rPr>
        <w:fldChar w:fldCharType="end"/>
      </w:r>
      <w:r w:rsidRPr="005F070D">
        <w:t xml:space="preserve"> : </w:t>
      </w:r>
      <w:r w:rsidR="00D92A2B">
        <w:t xml:space="preserve">évolution de la </w:t>
      </w:r>
      <w:r w:rsidRPr="005F070D">
        <w:t xml:space="preserve">température moyenne </w:t>
      </w:r>
      <w:r w:rsidR="00D92A2B">
        <w:t xml:space="preserve">et de la pluviométrie </w:t>
      </w:r>
    </w:p>
    <w:p w:rsidR="007B16C5" w:rsidRDefault="006509DF" w:rsidP="00AE2CF7">
      <w:pPr>
        <w:spacing w:line="276" w:lineRule="auto"/>
        <w:jc w:val="both"/>
        <w:rPr>
          <w:rFonts w:cs="Times New Roman"/>
          <w:szCs w:val="22"/>
          <w:lang w:eastAsia="en-US"/>
        </w:rPr>
      </w:pPr>
      <w:r w:rsidRPr="007B16C5">
        <w:rPr>
          <w:rFonts w:cs="Times New Roman"/>
          <w:szCs w:val="22"/>
          <w:lang w:eastAsia="en-US"/>
        </w:rPr>
        <w:t>Les données climatiques ont été mesurées à Borgo et rele</w:t>
      </w:r>
      <w:r w:rsidR="00D92A2B">
        <w:rPr>
          <w:rFonts w:cs="Times New Roman"/>
          <w:szCs w:val="22"/>
          <w:lang w:eastAsia="en-US"/>
        </w:rPr>
        <w:t>vées par la FREDON. L’année 2015</w:t>
      </w:r>
      <w:r w:rsidRPr="007B16C5">
        <w:rPr>
          <w:rFonts w:cs="Times New Roman"/>
          <w:szCs w:val="22"/>
          <w:lang w:eastAsia="en-US"/>
        </w:rPr>
        <w:t xml:space="preserve"> s’est caractérisée par des températures </w:t>
      </w:r>
      <w:r w:rsidR="00D92A2B">
        <w:rPr>
          <w:rFonts w:cs="Times New Roman"/>
          <w:szCs w:val="22"/>
          <w:lang w:eastAsia="en-US"/>
        </w:rPr>
        <w:t>élevées pendant la période estivale</w:t>
      </w:r>
      <w:r w:rsidR="00A97E20">
        <w:rPr>
          <w:rFonts w:cs="Times New Roman"/>
          <w:szCs w:val="22"/>
          <w:lang w:eastAsia="en-US"/>
        </w:rPr>
        <w:t xml:space="preserve"> et deux épisodes pluvieux exceptionnels en mars et en octobre</w:t>
      </w:r>
      <w:r w:rsidRPr="007B16C5">
        <w:rPr>
          <w:rFonts w:cs="Times New Roman"/>
          <w:szCs w:val="22"/>
          <w:lang w:eastAsia="en-US"/>
        </w:rPr>
        <w:t xml:space="preserve">. </w:t>
      </w:r>
      <w:r w:rsidR="00D92A2B">
        <w:rPr>
          <w:rFonts w:cs="Times New Roman"/>
          <w:szCs w:val="22"/>
          <w:lang w:eastAsia="en-US"/>
        </w:rPr>
        <w:t>Jusqu’au mois de décembre</w:t>
      </w:r>
      <w:r w:rsidRPr="007B16C5">
        <w:rPr>
          <w:rFonts w:cs="Times New Roman"/>
          <w:szCs w:val="22"/>
          <w:lang w:eastAsia="en-US"/>
        </w:rPr>
        <w:t>, les températures sont restées au-dessus des normales de saison (température moyenne sup</w:t>
      </w:r>
      <w:r w:rsidR="00D92A2B">
        <w:rPr>
          <w:rFonts w:cs="Times New Roman"/>
          <w:szCs w:val="22"/>
          <w:lang w:eastAsia="en-US"/>
        </w:rPr>
        <w:t>érieure à 10°C).</w:t>
      </w:r>
    </w:p>
    <w:p w:rsidR="007B16C5" w:rsidRPr="007B16C5" w:rsidRDefault="007B16C5" w:rsidP="00AE2CF7">
      <w:pPr>
        <w:spacing w:line="276" w:lineRule="auto"/>
        <w:jc w:val="both"/>
        <w:rPr>
          <w:rFonts w:cs="Times New Roman"/>
          <w:szCs w:val="22"/>
          <w:lang w:eastAsia="en-US"/>
        </w:rPr>
      </w:pPr>
    </w:p>
    <w:p w:rsidR="0040739B" w:rsidRPr="00B74876" w:rsidRDefault="0040739B" w:rsidP="00AE2CF7">
      <w:pPr>
        <w:suppressAutoHyphens w:val="0"/>
        <w:spacing w:after="200" w:line="276" w:lineRule="auto"/>
        <w:jc w:val="both"/>
        <w:rPr>
          <w:rFonts w:eastAsia="Calibri" w:cs="Times New Roman"/>
          <w:b/>
          <w:sz w:val="24"/>
          <w:lang w:eastAsia="en-US"/>
        </w:rPr>
      </w:pPr>
      <w:r w:rsidRPr="00B74876">
        <w:rPr>
          <w:rFonts w:eastAsia="Calibri" w:cs="Times New Roman"/>
          <w:b/>
          <w:sz w:val="24"/>
          <w:lang w:eastAsia="en-US"/>
        </w:rPr>
        <w:t>Les traitements phytosanitaires</w:t>
      </w:r>
    </w:p>
    <w:p w:rsidR="00A97E20" w:rsidRPr="00B74876" w:rsidRDefault="00A97E20" w:rsidP="00AE2CF7">
      <w:pPr>
        <w:suppressAutoHyphens w:val="0"/>
        <w:spacing w:after="200" w:line="276" w:lineRule="auto"/>
        <w:jc w:val="both"/>
        <w:rPr>
          <w:rFonts w:eastAsia="Calibri" w:cs="Times New Roman"/>
          <w:szCs w:val="22"/>
          <w:lang w:eastAsia="en-US"/>
        </w:rPr>
      </w:pPr>
      <w:r w:rsidRPr="00B74876">
        <w:rPr>
          <w:rFonts w:eastAsia="Calibri" w:cs="Times New Roman"/>
          <w:szCs w:val="22"/>
          <w:lang w:eastAsia="en-US"/>
        </w:rPr>
        <w:t>Les traitements phytosanitaires sont appliqués en fonction des règles de décision mis en place dans le cadre du projet avec la participation des partenaires.</w:t>
      </w:r>
    </w:p>
    <w:p w:rsidR="00FC59C9" w:rsidRPr="00A97E20" w:rsidRDefault="00FC59C9" w:rsidP="00AE2CF7">
      <w:pPr>
        <w:suppressAutoHyphens w:val="0"/>
        <w:spacing w:after="200" w:line="276" w:lineRule="auto"/>
        <w:jc w:val="both"/>
        <w:rPr>
          <w:rFonts w:eastAsia="Calibri" w:cs="Times New Roman"/>
          <w:sz w:val="24"/>
          <w:lang w:eastAsia="en-US"/>
        </w:rPr>
      </w:pP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lastRenderedPageBreak/>
        <w:t>SRA 85</w:t>
      </w:r>
    </w:p>
    <w:p w:rsidR="0040739B" w:rsidRPr="005F070D" w:rsidRDefault="0040739B" w:rsidP="00AE2CF7">
      <w:pPr>
        <w:pStyle w:val="Lgende"/>
        <w:spacing w:line="276" w:lineRule="auto"/>
      </w:pPr>
      <w:r w:rsidRPr="005F070D">
        <w:t xml:space="preserve">Tableau </w:t>
      </w:r>
      <w:r w:rsidR="008F72D3">
        <w:fldChar w:fldCharType="begin"/>
      </w:r>
      <w:r w:rsidR="008F72D3">
        <w:instrText xml:space="preserve"> SEQ Tableau \* ARABIC </w:instrText>
      </w:r>
      <w:r w:rsidR="008F72D3">
        <w:fldChar w:fldCharType="separate"/>
      </w:r>
      <w:r w:rsidR="00DA2B09">
        <w:rPr>
          <w:noProof/>
        </w:rPr>
        <w:t>4</w:t>
      </w:r>
      <w:r w:rsidR="008F72D3">
        <w:rPr>
          <w:noProof/>
        </w:rPr>
        <w:fldChar w:fldCharType="end"/>
      </w:r>
      <w:r w:rsidR="00FB2930" w:rsidRPr="005F070D">
        <w:t>: itinéraire technique appliqué</w:t>
      </w:r>
      <w:r w:rsidRPr="005F070D">
        <w:t xml:space="preserve"> sur la parcelle SRA 85</w:t>
      </w:r>
    </w:p>
    <w:p w:rsidR="0040739B" w:rsidRPr="005F070D" w:rsidRDefault="0066651A" w:rsidP="0066651A">
      <w:pPr>
        <w:pStyle w:val="Lgende"/>
        <w:spacing w:line="276" w:lineRule="auto"/>
        <w:jc w:val="center"/>
        <w:rPr>
          <w:i/>
          <w:color w:val="F79646"/>
          <w:sz w:val="24"/>
          <w:szCs w:val="24"/>
        </w:rPr>
      </w:pPr>
      <w:r w:rsidRPr="0066651A">
        <w:rPr>
          <w:noProof/>
          <w:lang w:eastAsia="fr-FR"/>
        </w:rPr>
        <w:drawing>
          <wp:inline distT="0" distB="0" distL="0" distR="0" wp14:anchorId="39A4F4D8" wp14:editId="0851C529">
            <wp:extent cx="5886450" cy="3733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237" cy="3743814"/>
                    </a:xfrm>
                    <a:prstGeom prst="rect">
                      <a:avLst/>
                    </a:prstGeom>
                    <a:noFill/>
                    <a:ln>
                      <a:noFill/>
                    </a:ln>
                  </pic:spPr>
                </pic:pic>
              </a:graphicData>
            </a:graphic>
          </wp:inline>
        </w:drawing>
      </w:r>
    </w:p>
    <w:p w:rsidR="0066651A" w:rsidRDefault="0066651A" w:rsidP="0066651A">
      <w:pPr>
        <w:suppressAutoHyphens w:val="0"/>
        <w:spacing w:after="200" w:line="276" w:lineRule="auto"/>
        <w:jc w:val="both"/>
        <w:rPr>
          <w:rFonts w:eastAsia="Calibri" w:cs="Times New Roman"/>
          <w:szCs w:val="22"/>
          <w:lang w:eastAsia="en-US"/>
        </w:rPr>
      </w:pPr>
      <w:r>
        <w:rPr>
          <w:rFonts w:eastAsia="Calibri" w:cs="Times New Roman"/>
          <w:szCs w:val="22"/>
          <w:lang w:eastAsia="en-US"/>
        </w:rPr>
        <w:t>Les fortes précipitations au printemps ont induit un risque de développement de champignon</w:t>
      </w:r>
      <w:r w:rsidR="00FE1A06">
        <w:rPr>
          <w:rFonts w:eastAsia="Calibri" w:cs="Times New Roman"/>
          <w:szCs w:val="22"/>
          <w:lang w:eastAsia="en-US"/>
        </w:rPr>
        <w:t>s</w:t>
      </w:r>
      <w:r>
        <w:rPr>
          <w:rFonts w:eastAsia="Calibri" w:cs="Times New Roman"/>
          <w:szCs w:val="22"/>
          <w:lang w:eastAsia="en-US"/>
        </w:rPr>
        <w:t xml:space="preserve"> de type Phytophtora. Des débuts de symptômes ont été observés sur les troncs des arbres sur tous les SdC. Deux à trois traitements fongicides ont donc été appliqués. Cette année, de l’argile kaolinite a été pulvérisé sur les arbres afin de prévenir les tâches de brûlures causées par le soleil. Ces tâches entrainent des écarts de triage. L’argile est censé empêché le soleil de brûler la surface des fruits. Le reste des traitements concernent les ravageurs principaux des clémentiniers, à savoir : la cératite et les cochenilles. Un traitement anti-cochenille a été appliqué en sorti d’hiver afin de toucher les stades hivernants et un au mois d’août lors de l’essaimage de plu</w:t>
      </w:r>
      <w:r w:rsidR="004678DD">
        <w:rPr>
          <w:rFonts w:eastAsia="Calibri" w:cs="Times New Roman"/>
          <w:szCs w:val="22"/>
          <w:lang w:eastAsia="en-US"/>
        </w:rPr>
        <w:t>sieurs espèces de cochenilles (c</w:t>
      </w:r>
      <w:r>
        <w:rPr>
          <w:rFonts w:eastAsia="Calibri" w:cs="Times New Roman"/>
          <w:szCs w:val="22"/>
          <w:lang w:eastAsia="en-US"/>
        </w:rPr>
        <w:t xml:space="preserve">ochenille chinoise notamment). </w:t>
      </w:r>
    </w:p>
    <w:p w:rsidR="0066651A" w:rsidRDefault="0066651A" w:rsidP="0066651A">
      <w:pPr>
        <w:pStyle w:val="Lgende"/>
        <w:keepNext/>
        <w:jc w:val="center"/>
      </w:pPr>
      <w:r>
        <w:t xml:space="preserve">Tableau </w:t>
      </w:r>
      <w:r w:rsidR="008F72D3">
        <w:fldChar w:fldCharType="begin"/>
      </w:r>
      <w:r w:rsidR="008F72D3">
        <w:instrText xml:space="preserve"> SEQ Tableau \* ARABIC </w:instrText>
      </w:r>
      <w:r w:rsidR="008F72D3">
        <w:fldChar w:fldCharType="separate"/>
      </w:r>
      <w:r w:rsidR="00DA2B09">
        <w:rPr>
          <w:noProof/>
        </w:rPr>
        <w:t>5</w:t>
      </w:r>
      <w:r w:rsidR="008F72D3">
        <w:rPr>
          <w:noProof/>
        </w:rPr>
        <w:fldChar w:fldCharType="end"/>
      </w:r>
      <w:r>
        <w:t xml:space="preserve"> : nombre de passages effectués pour la gestion de l'enherbement</w:t>
      </w:r>
    </w:p>
    <w:tbl>
      <w:tblPr>
        <w:tblStyle w:val="Ombrageclair"/>
        <w:tblW w:w="0" w:type="auto"/>
        <w:jc w:val="center"/>
        <w:tblLook w:val="04A0" w:firstRow="1" w:lastRow="0" w:firstColumn="1" w:lastColumn="0" w:noHBand="0" w:noVBand="1"/>
      </w:tblPr>
      <w:tblGrid>
        <w:gridCol w:w="1312"/>
        <w:gridCol w:w="2552"/>
        <w:gridCol w:w="2693"/>
      </w:tblGrid>
      <w:tr w:rsidR="0066651A" w:rsidRPr="004E5761" w:rsidTr="0066651A">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66651A" w:rsidRPr="004E5761" w:rsidRDefault="0066651A" w:rsidP="0066651A">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SdC</w:t>
            </w:r>
          </w:p>
        </w:tc>
        <w:tc>
          <w:tcPr>
            <w:tcW w:w="2552" w:type="dxa"/>
            <w:vAlign w:val="center"/>
          </w:tcPr>
          <w:p w:rsidR="0066651A" w:rsidRPr="004E5761" w:rsidRDefault="0066651A" w:rsidP="0066651A">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 xml:space="preserve">Nombre de passage </w:t>
            </w:r>
            <w:r>
              <w:rPr>
                <w:rFonts w:eastAsia="Calibri" w:cs="Times New Roman"/>
                <w:b w:val="0"/>
                <w:szCs w:val="22"/>
                <w:lang w:eastAsia="en-US"/>
              </w:rPr>
              <w:t>débroussailleuse</w:t>
            </w:r>
          </w:p>
        </w:tc>
        <w:tc>
          <w:tcPr>
            <w:tcW w:w="2693" w:type="dxa"/>
            <w:vAlign w:val="center"/>
          </w:tcPr>
          <w:p w:rsidR="0066651A" w:rsidRPr="004E5761" w:rsidRDefault="0066651A" w:rsidP="0066651A">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 xml:space="preserve">Nombre de passage </w:t>
            </w:r>
            <w:r>
              <w:rPr>
                <w:rFonts w:eastAsia="Calibri" w:cs="Times New Roman"/>
                <w:b w:val="0"/>
                <w:szCs w:val="22"/>
                <w:lang w:eastAsia="en-US"/>
              </w:rPr>
              <w:t>broyeur</w:t>
            </w:r>
          </w:p>
        </w:tc>
      </w:tr>
      <w:tr w:rsidR="0066651A" w:rsidRPr="004E5761" w:rsidTr="0066651A">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66651A" w:rsidRPr="004E5761" w:rsidRDefault="0066651A" w:rsidP="0066651A">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1</w:t>
            </w:r>
            <w:r w:rsidR="003A40A0">
              <w:rPr>
                <w:rFonts w:eastAsia="Calibri" w:cs="Times New Roman"/>
                <w:b w:val="0"/>
                <w:szCs w:val="22"/>
                <w:lang w:eastAsia="en-US"/>
              </w:rPr>
              <w:t xml:space="preserve"> (CH)</w:t>
            </w:r>
          </w:p>
        </w:tc>
        <w:tc>
          <w:tcPr>
            <w:tcW w:w="2552" w:type="dxa"/>
            <w:vAlign w:val="center"/>
          </w:tcPr>
          <w:p w:rsidR="0066651A" w:rsidRPr="004E5761" w:rsidRDefault="0066651A" w:rsidP="0066651A">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0</w:t>
            </w:r>
          </w:p>
        </w:tc>
        <w:tc>
          <w:tcPr>
            <w:tcW w:w="2693" w:type="dxa"/>
            <w:vAlign w:val="center"/>
          </w:tcPr>
          <w:p w:rsidR="0066651A" w:rsidRPr="004E5761" w:rsidRDefault="0066651A" w:rsidP="0066651A">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r w:rsidR="0066651A" w:rsidRPr="004E5761" w:rsidTr="0066651A">
        <w:trPr>
          <w:trHeight w:val="263"/>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66651A" w:rsidRPr="004E5761" w:rsidRDefault="0066651A" w:rsidP="0066651A">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2</w:t>
            </w:r>
            <w:r w:rsidR="003A40A0">
              <w:rPr>
                <w:rFonts w:eastAsia="Calibri" w:cs="Times New Roman"/>
                <w:b w:val="0"/>
                <w:szCs w:val="22"/>
                <w:lang w:eastAsia="en-US"/>
              </w:rPr>
              <w:t xml:space="preserve"> (50%)</w:t>
            </w:r>
          </w:p>
        </w:tc>
        <w:tc>
          <w:tcPr>
            <w:tcW w:w="2552" w:type="dxa"/>
            <w:vAlign w:val="center"/>
          </w:tcPr>
          <w:p w:rsidR="0066651A" w:rsidRPr="004E5761" w:rsidRDefault="0066651A" w:rsidP="0066651A">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0</w:t>
            </w:r>
          </w:p>
        </w:tc>
        <w:tc>
          <w:tcPr>
            <w:tcW w:w="2693" w:type="dxa"/>
            <w:vAlign w:val="center"/>
          </w:tcPr>
          <w:p w:rsidR="0066651A" w:rsidRPr="004E5761" w:rsidRDefault="0066651A" w:rsidP="0066651A">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r w:rsidR="0066651A" w:rsidRPr="004E5761" w:rsidTr="0066651A">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66651A" w:rsidRPr="004E5761" w:rsidRDefault="0066651A" w:rsidP="0066651A">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3</w:t>
            </w:r>
            <w:r w:rsidR="003A40A0">
              <w:rPr>
                <w:rFonts w:eastAsia="Calibri" w:cs="Times New Roman"/>
                <w:b w:val="0"/>
                <w:szCs w:val="22"/>
                <w:lang w:eastAsia="en-US"/>
              </w:rPr>
              <w:t xml:space="preserve"> (LB)</w:t>
            </w:r>
          </w:p>
        </w:tc>
        <w:tc>
          <w:tcPr>
            <w:tcW w:w="2552" w:type="dxa"/>
            <w:vAlign w:val="center"/>
          </w:tcPr>
          <w:p w:rsidR="0066651A" w:rsidRPr="004E5761" w:rsidRDefault="0066651A" w:rsidP="0066651A">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4</w:t>
            </w:r>
          </w:p>
        </w:tc>
        <w:tc>
          <w:tcPr>
            <w:tcW w:w="2693" w:type="dxa"/>
            <w:vAlign w:val="center"/>
          </w:tcPr>
          <w:p w:rsidR="0066651A" w:rsidRPr="004E5761" w:rsidRDefault="0066651A" w:rsidP="0066651A">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bl>
    <w:p w:rsidR="00FE1A06" w:rsidRDefault="00FE1A06" w:rsidP="00AE2CF7">
      <w:pPr>
        <w:suppressAutoHyphens w:val="0"/>
        <w:spacing w:after="200" w:line="276" w:lineRule="auto"/>
        <w:jc w:val="both"/>
        <w:rPr>
          <w:rFonts w:eastAsia="Calibri" w:cs="Times New Roman"/>
          <w:szCs w:val="22"/>
          <w:lang w:eastAsia="en-US"/>
        </w:rPr>
      </w:pPr>
    </w:p>
    <w:p w:rsidR="0066651A" w:rsidRDefault="00FE1A06"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Cette année</w:t>
      </w:r>
      <w:r w:rsidR="007C34B9">
        <w:rPr>
          <w:rFonts w:eastAsia="Calibri" w:cs="Times New Roman"/>
          <w:szCs w:val="22"/>
          <w:lang w:eastAsia="en-US"/>
        </w:rPr>
        <w:t>,</w:t>
      </w:r>
      <w:r>
        <w:rPr>
          <w:rFonts w:eastAsia="Calibri" w:cs="Times New Roman"/>
          <w:szCs w:val="22"/>
          <w:lang w:eastAsia="en-US"/>
        </w:rPr>
        <w:t xml:space="preserve"> un nouvel outil devait être installé sur la Natura griff’. Cette installation ayant pris du retard dans l’année, la gestion de l’enherbement dans le SdC 3 a été réalisée à l’aide d’une débroussailleuse à fil. Pour la gestion de l’inter-rang, le même nombre de passage</w:t>
      </w:r>
      <w:r w:rsidR="00492628">
        <w:rPr>
          <w:rFonts w:eastAsia="Calibri" w:cs="Times New Roman"/>
          <w:szCs w:val="22"/>
          <w:lang w:eastAsia="en-US"/>
        </w:rPr>
        <w:t>s</w:t>
      </w:r>
      <w:r>
        <w:rPr>
          <w:rFonts w:eastAsia="Calibri" w:cs="Times New Roman"/>
          <w:szCs w:val="22"/>
          <w:lang w:eastAsia="en-US"/>
        </w:rPr>
        <w:t xml:space="preserve"> a été réalisé</w:t>
      </w:r>
      <w:r w:rsidR="007C34B9">
        <w:rPr>
          <w:rFonts w:eastAsia="Calibri" w:cs="Times New Roman"/>
          <w:szCs w:val="22"/>
          <w:lang w:eastAsia="en-US"/>
        </w:rPr>
        <w:t xml:space="preserve"> sur tous les SdC</w:t>
      </w:r>
      <w:r>
        <w:rPr>
          <w:rFonts w:eastAsia="Calibri" w:cs="Times New Roman"/>
          <w:szCs w:val="22"/>
          <w:lang w:eastAsia="en-US"/>
        </w:rPr>
        <w:t>.</w:t>
      </w:r>
    </w:p>
    <w:p w:rsidR="00492628" w:rsidRDefault="00492628" w:rsidP="00AE2CF7">
      <w:pPr>
        <w:suppressAutoHyphens w:val="0"/>
        <w:spacing w:after="200" w:line="276" w:lineRule="auto"/>
        <w:jc w:val="both"/>
        <w:rPr>
          <w:rFonts w:eastAsia="Calibri" w:cs="Times New Roman"/>
          <w:szCs w:val="22"/>
          <w:lang w:eastAsia="en-US"/>
        </w:rPr>
      </w:pP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Caffin</w:t>
      </w:r>
    </w:p>
    <w:p w:rsidR="0040739B" w:rsidRPr="005F070D" w:rsidRDefault="0040739B" w:rsidP="00AE2CF7">
      <w:pPr>
        <w:pStyle w:val="Lgende"/>
        <w:spacing w:line="276" w:lineRule="auto"/>
      </w:pPr>
      <w:r w:rsidRPr="005F070D">
        <w:t xml:space="preserve">Tableau </w:t>
      </w:r>
      <w:r w:rsidR="008F72D3">
        <w:fldChar w:fldCharType="begin"/>
      </w:r>
      <w:r w:rsidR="008F72D3">
        <w:instrText xml:space="preserve"> SEQ Tableau \* ARABIC </w:instrText>
      </w:r>
      <w:r w:rsidR="008F72D3">
        <w:fldChar w:fldCharType="separate"/>
      </w:r>
      <w:r w:rsidR="00DA2B09">
        <w:rPr>
          <w:noProof/>
        </w:rPr>
        <w:t>6</w:t>
      </w:r>
      <w:r w:rsidR="008F72D3">
        <w:rPr>
          <w:noProof/>
        </w:rPr>
        <w:fldChar w:fldCharType="end"/>
      </w:r>
      <w:r w:rsidRPr="005F070D">
        <w:t xml:space="preserve"> : </w:t>
      </w:r>
      <w:r w:rsidR="00FB2930" w:rsidRPr="005F070D">
        <w:t>itinéraire technique appliqué</w:t>
      </w:r>
      <w:r w:rsidRPr="005F070D">
        <w:t xml:space="preserve"> sur la parcelle Caffin</w:t>
      </w:r>
    </w:p>
    <w:p w:rsidR="0040739B" w:rsidRPr="007B16C5" w:rsidRDefault="00FE1A06" w:rsidP="00AE2CF7">
      <w:pPr>
        <w:suppressAutoHyphens w:val="0"/>
        <w:spacing w:after="200" w:line="276" w:lineRule="auto"/>
        <w:jc w:val="both"/>
        <w:rPr>
          <w:rFonts w:eastAsia="Calibri" w:cs="Times New Roman"/>
          <w:i/>
          <w:color w:val="F79646"/>
          <w:szCs w:val="22"/>
          <w:lang w:eastAsia="en-US"/>
        </w:rPr>
      </w:pPr>
      <w:r w:rsidRPr="00FE1A06">
        <w:rPr>
          <w:rFonts w:eastAsia="Calibri"/>
          <w:noProof/>
          <w:lang w:eastAsia="fr-FR"/>
        </w:rPr>
        <w:drawing>
          <wp:inline distT="0" distB="0" distL="0" distR="0" wp14:anchorId="44055C55" wp14:editId="1CB409B0">
            <wp:extent cx="5991225" cy="33435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502" cy="3347586"/>
                    </a:xfrm>
                    <a:prstGeom prst="rect">
                      <a:avLst/>
                    </a:prstGeom>
                    <a:noFill/>
                    <a:ln>
                      <a:noFill/>
                    </a:ln>
                  </pic:spPr>
                </pic:pic>
              </a:graphicData>
            </a:graphic>
          </wp:inline>
        </w:drawing>
      </w:r>
    </w:p>
    <w:p w:rsidR="00FE1A06" w:rsidRDefault="00FE1A06"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Les mêmes dégâts dus au Phytophtora ont été observés dans cette parcelle. Cependant, l’humidité s’évacuant mieux dans la parcelle de caffin que dans la SRA 85, moins de traitements ont été nécessaires et aucun n’a été fait dans le SdC3. Concernant les autres traitements, ils correspondent à l’itinéraire technique classique pour la gestion de la cératite et des cochenilles. Pour la gestion de la Cératite, le piégeage massif a été appliqué dans tous les SdC car l’historique de pression était important dans cette parcelle. Un traitement curatif a dû être appliqué dans le SdC 2 car le seuil de nuisibilité (8 mouches/piège/jour) a été dépassé.</w:t>
      </w:r>
    </w:p>
    <w:p w:rsidR="00FE1A06" w:rsidRDefault="00FE1A06" w:rsidP="00FE1A06">
      <w:pPr>
        <w:pStyle w:val="Lgende"/>
        <w:keepNext/>
        <w:jc w:val="center"/>
      </w:pPr>
      <w:r>
        <w:t xml:space="preserve">Tableau </w:t>
      </w:r>
      <w:r w:rsidR="008F72D3">
        <w:fldChar w:fldCharType="begin"/>
      </w:r>
      <w:r w:rsidR="008F72D3">
        <w:instrText xml:space="preserve"> SEQ Tableau \* ARABIC </w:instrText>
      </w:r>
      <w:r w:rsidR="008F72D3">
        <w:fldChar w:fldCharType="separate"/>
      </w:r>
      <w:r w:rsidR="00DA2B09">
        <w:rPr>
          <w:noProof/>
        </w:rPr>
        <w:t>7</w:t>
      </w:r>
      <w:r w:rsidR="008F72D3">
        <w:rPr>
          <w:noProof/>
        </w:rPr>
        <w:fldChar w:fldCharType="end"/>
      </w:r>
      <w:r>
        <w:t xml:space="preserve"> : nombre de passages effectués pour la gestion de l'enherbement</w:t>
      </w:r>
    </w:p>
    <w:tbl>
      <w:tblPr>
        <w:tblStyle w:val="Ombrageclair"/>
        <w:tblW w:w="0" w:type="auto"/>
        <w:jc w:val="center"/>
        <w:tblLook w:val="04A0" w:firstRow="1" w:lastRow="0" w:firstColumn="1" w:lastColumn="0" w:noHBand="0" w:noVBand="1"/>
      </w:tblPr>
      <w:tblGrid>
        <w:gridCol w:w="1312"/>
        <w:gridCol w:w="2552"/>
        <w:gridCol w:w="2693"/>
      </w:tblGrid>
      <w:tr w:rsidR="00FE1A06" w:rsidRPr="004E5761" w:rsidTr="005856A0">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FE1A06" w:rsidRPr="004E5761" w:rsidRDefault="00FE1A06"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SdC</w:t>
            </w:r>
          </w:p>
        </w:tc>
        <w:tc>
          <w:tcPr>
            <w:tcW w:w="2552" w:type="dxa"/>
            <w:vAlign w:val="center"/>
          </w:tcPr>
          <w:p w:rsidR="00FE1A06" w:rsidRPr="004E5761" w:rsidRDefault="00FE1A06" w:rsidP="005856A0">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 xml:space="preserve">Nombre de passage </w:t>
            </w:r>
            <w:r>
              <w:rPr>
                <w:rFonts w:eastAsia="Calibri" w:cs="Times New Roman"/>
                <w:b w:val="0"/>
                <w:szCs w:val="22"/>
                <w:lang w:eastAsia="en-US"/>
              </w:rPr>
              <w:t>débroussailleuse</w:t>
            </w:r>
          </w:p>
        </w:tc>
        <w:tc>
          <w:tcPr>
            <w:tcW w:w="2693" w:type="dxa"/>
            <w:vAlign w:val="center"/>
          </w:tcPr>
          <w:p w:rsidR="00FE1A06" w:rsidRPr="004E5761" w:rsidRDefault="00FE1A06" w:rsidP="005856A0">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 xml:space="preserve">Nombre de passage </w:t>
            </w:r>
            <w:r>
              <w:rPr>
                <w:rFonts w:eastAsia="Calibri" w:cs="Times New Roman"/>
                <w:b w:val="0"/>
                <w:szCs w:val="22"/>
                <w:lang w:eastAsia="en-US"/>
              </w:rPr>
              <w:t>broyeur</w:t>
            </w:r>
          </w:p>
        </w:tc>
      </w:tr>
      <w:tr w:rsidR="00FE1A06" w:rsidRPr="004E5761" w:rsidTr="005856A0">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FE1A06" w:rsidRPr="004E5761" w:rsidRDefault="00FE1A06"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1</w:t>
            </w:r>
          </w:p>
        </w:tc>
        <w:tc>
          <w:tcPr>
            <w:tcW w:w="2552" w:type="dxa"/>
            <w:vAlign w:val="center"/>
          </w:tcPr>
          <w:p w:rsidR="00FE1A06" w:rsidRPr="004E5761" w:rsidRDefault="00FE1A06"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0</w:t>
            </w:r>
          </w:p>
        </w:tc>
        <w:tc>
          <w:tcPr>
            <w:tcW w:w="2693" w:type="dxa"/>
            <w:vAlign w:val="center"/>
          </w:tcPr>
          <w:p w:rsidR="00FE1A06" w:rsidRPr="004E5761" w:rsidRDefault="00FE1A06"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r w:rsidR="00FE1A06" w:rsidRPr="004E5761" w:rsidTr="005856A0">
        <w:trPr>
          <w:trHeight w:val="263"/>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FE1A06" w:rsidRPr="004E5761" w:rsidRDefault="00FE1A06"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2</w:t>
            </w:r>
          </w:p>
        </w:tc>
        <w:tc>
          <w:tcPr>
            <w:tcW w:w="2552" w:type="dxa"/>
            <w:vAlign w:val="center"/>
          </w:tcPr>
          <w:p w:rsidR="00FE1A06" w:rsidRPr="004E5761" w:rsidRDefault="00FE1A06" w:rsidP="005856A0">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0</w:t>
            </w:r>
          </w:p>
        </w:tc>
        <w:tc>
          <w:tcPr>
            <w:tcW w:w="2693" w:type="dxa"/>
            <w:vAlign w:val="center"/>
          </w:tcPr>
          <w:p w:rsidR="00FE1A06" w:rsidRPr="004E5761" w:rsidRDefault="00FE1A06" w:rsidP="005856A0">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r w:rsidR="00FE1A06" w:rsidRPr="004E5761" w:rsidTr="005856A0">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FE1A06" w:rsidRPr="004E5761" w:rsidRDefault="00FE1A06"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3</w:t>
            </w:r>
          </w:p>
        </w:tc>
        <w:tc>
          <w:tcPr>
            <w:tcW w:w="2552" w:type="dxa"/>
            <w:vAlign w:val="center"/>
          </w:tcPr>
          <w:p w:rsidR="00FE1A06" w:rsidRPr="004E5761" w:rsidRDefault="00FE1A06"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4</w:t>
            </w:r>
          </w:p>
        </w:tc>
        <w:tc>
          <w:tcPr>
            <w:tcW w:w="2693" w:type="dxa"/>
            <w:vAlign w:val="center"/>
          </w:tcPr>
          <w:p w:rsidR="00FE1A06" w:rsidRPr="004E5761" w:rsidRDefault="00FE1A06"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bl>
    <w:p w:rsidR="00FE1A06" w:rsidRDefault="00FE1A06" w:rsidP="00AE2CF7">
      <w:pPr>
        <w:suppressAutoHyphens w:val="0"/>
        <w:spacing w:after="200" w:line="276" w:lineRule="auto"/>
        <w:jc w:val="both"/>
        <w:rPr>
          <w:rFonts w:eastAsia="Calibri" w:cs="Times New Roman"/>
          <w:szCs w:val="22"/>
          <w:lang w:eastAsia="en-US"/>
        </w:rPr>
      </w:pPr>
    </w:p>
    <w:p w:rsidR="00FE1A06" w:rsidRDefault="00D15614"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 xml:space="preserve">La gestion de l’enherbement a été la même dans cette parcelle que dans la parcelle de SRA 85. </w:t>
      </w:r>
    </w:p>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p>
    <w:p w:rsidR="00D15614" w:rsidRPr="007B16C5" w:rsidRDefault="00D15614" w:rsidP="00AE2CF7">
      <w:pPr>
        <w:suppressAutoHyphens w:val="0"/>
        <w:spacing w:after="200" w:line="276" w:lineRule="auto"/>
        <w:jc w:val="both"/>
        <w:rPr>
          <w:rFonts w:eastAsia="Calibri" w:cs="Times New Roman"/>
          <w:szCs w:val="22"/>
          <w:lang w:eastAsia="en-US"/>
        </w:rPr>
      </w:pP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SRA 92</w:t>
      </w:r>
    </w:p>
    <w:p w:rsidR="0040739B" w:rsidRPr="005F070D" w:rsidRDefault="0040739B" w:rsidP="00AE2CF7">
      <w:pPr>
        <w:pStyle w:val="Lgende"/>
        <w:spacing w:line="276" w:lineRule="auto"/>
      </w:pPr>
      <w:r w:rsidRPr="005F070D">
        <w:t xml:space="preserve">Tableau </w:t>
      </w:r>
      <w:r w:rsidR="008F72D3">
        <w:fldChar w:fldCharType="begin"/>
      </w:r>
      <w:r w:rsidR="008F72D3">
        <w:instrText xml:space="preserve"> SEQ Tableau \* ARABIC </w:instrText>
      </w:r>
      <w:r w:rsidR="008F72D3">
        <w:fldChar w:fldCharType="separate"/>
      </w:r>
      <w:r w:rsidR="00DA2B09">
        <w:rPr>
          <w:noProof/>
        </w:rPr>
        <w:t>8</w:t>
      </w:r>
      <w:r w:rsidR="008F72D3">
        <w:rPr>
          <w:noProof/>
        </w:rPr>
        <w:fldChar w:fldCharType="end"/>
      </w:r>
      <w:r w:rsidR="00FB2930" w:rsidRPr="005F070D">
        <w:t xml:space="preserve"> : itinéraire technique appliqué </w:t>
      </w:r>
      <w:r w:rsidRPr="005F070D">
        <w:t xml:space="preserve">sur la parcelle SRA </w:t>
      </w:r>
      <w:r w:rsidRPr="007B16C5">
        <w:t>92</w:t>
      </w:r>
    </w:p>
    <w:p w:rsidR="0040739B" w:rsidRPr="005F070D" w:rsidRDefault="007C34B9" w:rsidP="00AE2CF7">
      <w:pPr>
        <w:suppressAutoHyphens w:val="0"/>
        <w:spacing w:after="200" w:line="276" w:lineRule="auto"/>
        <w:jc w:val="both"/>
        <w:rPr>
          <w:rFonts w:eastAsia="Calibri" w:cs="Times New Roman"/>
          <w:i/>
          <w:color w:val="F79646"/>
          <w:sz w:val="24"/>
          <w:lang w:eastAsia="en-US"/>
        </w:rPr>
      </w:pPr>
      <w:r w:rsidRPr="007C34B9">
        <w:rPr>
          <w:rFonts w:eastAsia="Calibri"/>
          <w:noProof/>
          <w:lang w:eastAsia="fr-FR"/>
        </w:rPr>
        <w:drawing>
          <wp:inline distT="0" distB="0" distL="0" distR="0" wp14:anchorId="41E4727D" wp14:editId="7408FF2C">
            <wp:extent cx="5924550" cy="3346825"/>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989" cy="3352157"/>
                    </a:xfrm>
                    <a:prstGeom prst="rect">
                      <a:avLst/>
                    </a:prstGeom>
                    <a:noFill/>
                    <a:ln>
                      <a:noFill/>
                    </a:ln>
                  </pic:spPr>
                </pic:pic>
              </a:graphicData>
            </a:graphic>
          </wp:inline>
        </w:drawing>
      </w:r>
    </w:p>
    <w:p w:rsidR="00D15614" w:rsidRDefault="00725A65"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 xml:space="preserve">L’itinéraire technique appliqué est </w:t>
      </w:r>
      <w:r w:rsidR="00D15614">
        <w:rPr>
          <w:rFonts w:eastAsia="Calibri" w:cs="Times New Roman"/>
          <w:szCs w:val="22"/>
          <w:lang w:eastAsia="en-US"/>
        </w:rPr>
        <w:t>sensiblement le même que dans la parcelle de Caffin</w:t>
      </w:r>
      <w:r w:rsidRPr="007B16C5">
        <w:rPr>
          <w:rFonts w:eastAsia="Calibri" w:cs="Times New Roman"/>
          <w:szCs w:val="22"/>
          <w:lang w:eastAsia="en-US"/>
        </w:rPr>
        <w:t xml:space="preserve">. La pression </w:t>
      </w:r>
      <w:r w:rsidR="00D15614">
        <w:rPr>
          <w:rFonts w:eastAsia="Calibri" w:cs="Times New Roman"/>
          <w:szCs w:val="22"/>
          <w:lang w:eastAsia="en-US"/>
        </w:rPr>
        <w:t>des ravageurs et des maladies a été la même</w:t>
      </w:r>
      <w:r w:rsidRPr="007B16C5">
        <w:rPr>
          <w:rFonts w:eastAsia="Calibri" w:cs="Times New Roman"/>
          <w:szCs w:val="22"/>
          <w:lang w:eastAsia="en-US"/>
        </w:rPr>
        <w:t>.</w:t>
      </w:r>
      <w:r w:rsidR="00D15614">
        <w:rPr>
          <w:rFonts w:eastAsia="Calibri" w:cs="Times New Roman"/>
          <w:szCs w:val="22"/>
          <w:lang w:eastAsia="en-US"/>
        </w:rPr>
        <w:t xml:space="preserve"> On remarque que dans cette parcelle le seuil de nuisibilité de la cératite a été dépassé dans le SdC 1.</w:t>
      </w:r>
    </w:p>
    <w:p w:rsidR="00D15614" w:rsidRDefault="00D15614" w:rsidP="00D15614">
      <w:pPr>
        <w:pStyle w:val="Lgende"/>
        <w:keepNext/>
        <w:jc w:val="center"/>
      </w:pPr>
      <w:r>
        <w:t xml:space="preserve">Tableau </w:t>
      </w:r>
      <w:r w:rsidR="008F72D3">
        <w:fldChar w:fldCharType="begin"/>
      </w:r>
      <w:r w:rsidR="008F72D3">
        <w:instrText xml:space="preserve"> SEQ Tableau \* ARABIC </w:instrText>
      </w:r>
      <w:r w:rsidR="008F72D3">
        <w:fldChar w:fldCharType="separate"/>
      </w:r>
      <w:r w:rsidR="00DA2B09">
        <w:rPr>
          <w:noProof/>
        </w:rPr>
        <w:t>9</w:t>
      </w:r>
      <w:r w:rsidR="008F72D3">
        <w:rPr>
          <w:noProof/>
        </w:rPr>
        <w:fldChar w:fldCharType="end"/>
      </w:r>
      <w:r>
        <w:t xml:space="preserve"> : nombre de passages effectués pour la gestion de l'enherbement</w:t>
      </w:r>
    </w:p>
    <w:tbl>
      <w:tblPr>
        <w:tblStyle w:val="Ombrageclair"/>
        <w:tblW w:w="0" w:type="auto"/>
        <w:jc w:val="center"/>
        <w:tblLook w:val="04A0" w:firstRow="1" w:lastRow="0" w:firstColumn="1" w:lastColumn="0" w:noHBand="0" w:noVBand="1"/>
      </w:tblPr>
      <w:tblGrid>
        <w:gridCol w:w="1312"/>
        <w:gridCol w:w="2552"/>
        <w:gridCol w:w="2693"/>
      </w:tblGrid>
      <w:tr w:rsidR="00D15614" w:rsidRPr="004E5761" w:rsidTr="005856A0">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D15614" w:rsidRPr="004E5761" w:rsidRDefault="00D15614"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SdC</w:t>
            </w:r>
          </w:p>
        </w:tc>
        <w:tc>
          <w:tcPr>
            <w:tcW w:w="2552" w:type="dxa"/>
            <w:vAlign w:val="center"/>
          </w:tcPr>
          <w:p w:rsidR="00D15614" w:rsidRPr="004E5761" w:rsidRDefault="00D15614" w:rsidP="005856A0">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 xml:space="preserve">Nombre de passage </w:t>
            </w:r>
            <w:r>
              <w:rPr>
                <w:rFonts w:eastAsia="Calibri" w:cs="Times New Roman"/>
                <w:b w:val="0"/>
                <w:szCs w:val="22"/>
                <w:lang w:eastAsia="en-US"/>
              </w:rPr>
              <w:t>débroussailleuse</w:t>
            </w:r>
          </w:p>
        </w:tc>
        <w:tc>
          <w:tcPr>
            <w:tcW w:w="2693" w:type="dxa"/>
            <w:vAlign w:val="center"/>
          </w:tcPr>
          <w:p w:rsidR="00D15614" w:rsidRPr="004E5761" w:rsidRDefault="00D15614" w:rsidP="005856A0">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 xml:space="preserve">Nombre de passage </w:t>
            </w:r>
            <w:r>
              <w:rPr>
                <w:rFonts w:eastAsia="Calibri" w:cs="Times New Roman"/>
                <w:b w:val="0"/>
                <w:szCs w:val="22"/>
                <w:lang w:eastAsia="en-US"/>
              </w:rPr>
              <w:t>broyeur</w:t>
            </w:r>
          </w:p>
        </w:tc>
      </w:tr>
      <w:tr w:rsidR="00D15614" w:rsidRPr="004E5761" w:rsidTr="005856A0">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D15614" w:rsidRPr="004E5761" w:rsidRDefault="00D15614"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1</w:t>
            </w:r>
          </w:p>
        </w:tc>
        <w:tc>
          <w:tcPr>
            <w:tcW w:w="2552" w:type="dxa"/>
            <w:vAlign w:val="center"/>
          </w:tcPr>
          <w:p w:rsidR="00D15614" w:rsidRPr="004E5761" w:rsidRDefault="00D15614"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0</w:t>
            </w:r>
          </w:p>
        </w:tc>
        <w:tc>
          <w:tcPr>
            <w:tcW w:w="2693" w:type="dxa"/>
            <w:vAlign w:val="center"/>
          </w:tcPr>
          <w:p w:rsidR="00D15614" w:rsidRPr="004E5761" w:rsidRDefault="00D15614"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r w:rsidR="00D15614" w:rsidRPr="004E5761" w:rsidTr="005856A0">
        <w:trPr>
          <w:trHeight w:val="263"/>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D15614" w:rsidRPr="004E5761" w:rsidRDefault="00D15614"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2</w:t>
            </w:r>
          </w:p>
        </w:tc>
        <w:tc>
          <w:tcPr>
            <w:tcW w:w="2552" w:type="dxa"/>
            <w:vAlign w:val="center"/>
          </w:tcPr>
          <w:p w:rsidR="00D15614" w:rsidRPr="004E5761" w:rsidRDefault="00D15614" w:rsidP="005856A0">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0</w:t>
            </w:r>
          </w:p>
        </w:tc>
        <w:tc>
          <w:tcPr>
            <w:tcW w:w="2693" w:type="dxa"/>
            <w:vAlign w:val="center"/>
          </w:tcPr>
          <w:p w:rsidR="00D15614" w:rsidRPr="004E5761" w:rsidRDefault="00D15614" w:rsidP="005856A0">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r w:rsidR="00D15614" w:rsidRPr="004E5761" w:rsidTr="005856A0">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D15614" w:rsidRPr="004E5761" w:rsidRDefault="00D15614" w:rsidP="005856A0">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3</w:t>
            </w:r>
          </w:p>
        </w:tc>
        <w:tc>
          <w:tcPr>
            <w:tcW w:w="2552" w:type="dxa"/>
            <w:vAlign w:val="center"/>
          </w:tcPr>
          <w:p w:rsidR="00D15614" w:rsidRPr="004E5761" w:rsidRDefault="00D15614"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4</w:t>
            </w:r>
          </w:p>
        </w:tc>
        <w:tc>
          <w:tcPr>
            <w:tcW w:w="2693" w:type="dxa"/>
            <w:vAlign w:val="center"/>
          </w:tcPr>
          <w:p w:rsidR="00D15614" w:rsidRPr="004E5761" w:rsidRDefault="00D15614" w:rsidP="005856A0">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r>
    </w:tbl>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La gestion de l’enherbement a été la même que dans les autres parcelles.</w:t>
      </w:r>
    </w:p>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p>
    <w:p w:rsidR="00D15614" w:rsidRDefault="00D15614" w:rsidP="00AE2CF7">
      <w:pPr>
        <w:suppressAutoHyphens w:val="0"/>
        <w:spacing w:after="200" w:line="276" w:lineRule="auto"/>
        <w:jc w:val="both"/>
        <w:rPr>
          <w:rFonts w:eastAsia="Calibri" w:cs="Times New Roman"/>
          <w:szCs w:val="22"/>
          <w:lang w:eastAsia="en-US"/>
        </w:rPr>
      </w:pPr>
    </w:p>
    <w:p w:rsidR="00D15614" w:rsidRPr="007B16C5" w:rsidRDefault="00D15614" w:rsidP="00AE2CF7">
      <w:pPr>
        <w:suppressAutoHyphens w:val="0"/>
        <w:spacing w:after="200" w:line="276" w:lineRule="auto"/>
        <w:jc w:val="both"/>
        <w:rPr>
          <w:rFonts w:eastAsia="Calibri" w:cs="Times New Roman"/>
          <w:szCs w:val="22"/>
          <w:lang w:eastAsia="en-US"/>
        </w:rPr>
      </w:pPr>
    </w:p>
    <w:p w:rsidR="0040739B" w:rsidRPr="005F070D" w:rsidRDefault="0040739B" w:rsidP="00AE2CF7">
      <w:pPr>
        <w:tabs>
          <w:tab w:val="left" w:pos="2955"/>
        </w:tabs>
        <w:suppressAutoHyphens w:val="0"/>
        <w:spacing w:after="200" w:line="276" w:lineRule="auto"/>
        <w:jc w:val="both"/>
        <w:rPr>
          <w:rFonts w:eastAsia="Calibri" w:cs="Times New Roman"/>
          <w:b/>
          <w:sz w:val="24"/>
          <w:lang w:eastAsia="en-US"/>
        </w:rPr>
      </w:pPr>
      <w:r w:rsidRPr="005F070D">
        <w:rPr>
          <w:rFonts w:eastAsia="Calibri" w:cs="Times New Roman"/>
          <w:b/>
          <w:sz w:val="24"/>
          <w:lang w:eastAsia="en-US"/>
        </w:rPr>
        <w:t>Les IFT</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SRA 85</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10</w:t>
      </w:r>
      <w:r w:rsidR="008F72D3">
        <w:rPr>
          <w:noProof/>
        </w:rPr>
        <w:fldChar w:fldCharType="end"/>
      </w:r>
      <w:r w:rsidRPr="005F070D">
        <w:t xml:space="preserve"> : indice de fréquence de traitements par catégories de produits phytosanitaires</w:t>
      </w:r>
    </w:p>
    <w:tbl>
      <w:tblPr>
        <w:tblW w:w="9138" w:type="dxa"/>
        <w:tblBorders>
          <w:top w:val="single" w:sz="8" w:space="0" w:color="9BBB59"/>
          <w:bottom w:val="single" w:sz="8" w:space="0" w:color="9BBB59"/>
        </w:tblBorders>
        <w:tblLook w:val="04A0" w:firstRow="1" w:lastRow="0" w:firstColumn="1" w:lastColumn="0" w:noHBand="0" w:noVBand="1"/>
      </w:tblPr>
      <w:tblGrid>
        <w:gridCol w:w="1200"/>
        <w:gridCol w:w="1360"/>
        <w:gridCol w:w="1340"/>
        <w:gridCol w:w="1340"/>
        <w:gridCol w:w="1340"/>
        <w:gridCol w:w="1340"/>
        <w:gridCol w:w="1218"/>
      </w:tblGrid>
      <w:tr w:rsidR="00D15614" w:rsidRPr="00D15614" w:rsidTr="00D15614">
        <w:trPr>
          <w:trHeight w:val="600"/>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Modalité</w:t>
            </w:r>
          </w:p>
        </w:tc>
        <w:tc>
          <w:tcPr>
            <w:tcW w:w="13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Total IFT</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herbicide</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insecticide</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fongicide</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biocont</w:t>
            </w:r>
            <w:r w:rsidR="00B31085">
              <w:rPr>
                <w:rFonts w:eastAsia="Calibri" w:cs="Times New Roman"/>
                <w:bCs/>
                <w:color w:val="000000"/>
                <w:szCs w:val="22"/>
                <w:lang w:eastAsia="fr-FR"/>
              </w:rPr>
              <w:t>r</w:t>
            </w:r>
            <w:r w:rsidRPr="00D15614">
              <w:rPr>
                <w:rFonts w:eastAsia="Calibri" w:cs="Times New Roman"/>
                <w:bCs/>
                <w:color w:val="000000"/>
                <w:szCs w:val="22"/>
                <w:lang w:eastAsia="fr-FR"/>
              </w:rPr>
              <w:t>ôle</w:t>
            </w:r>
          </w:p>
        </w:tc>
        <w:tc>
          <w:tcPr>
            <w:tcW w:w="121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hors biocontrôle</w:t>
            </w:r>
          </w:p>
        </w:tc>
      </w:tr>
      <w:tr w:rsidR="00D15614" w:rsidRPr="00D15614" w:rsidTr="00D15614">
        <w:trPr>
          <w:trHeight w:val="600"/>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LB</w:t>
            </w:r>
            <w:r>
              <w:rPr>
                <w:rFonts w:eastAsia="Calibri" w:cs="Times New Roman"/>
                <w:bCs/>
                <w:color w:val="000000"/>
                <w:szCs w:val="22"/>
                <w:lang w:eastAsia="fr-FR"/>
              </w:rPr>
              <w:t xml:space="preserve">  (SdC3)</w:t>
            </w:r>
          </w:p>
        </w:tc>
        <w:tc>
          <w:tcPr>
            <w:tcW w:w="13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10,49</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8,49</w:t>
            </w:r>
          </w:p>
        </w:tc>
        <w:tc>
          <w:tcPr>
            <w:tcW w:w="121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w:t>
            </w:r>
          </w:p>
        </w:tc>
      </w:tr>
      <w:tr w:rsidR="00D15614" w:rsidRPr="00D15614" w:rsidTr="00D15614">
        <w:trPr>
          <w:trHeight w:val="600"/>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50%</w:t>
            </w:r>
            <w:r>
              <w:rPr>
                <w:rFonts w:eastAsia="Calibri" w:cs="Times New Roman"/>
                <w:bCs/>
                <w:color w:val="000000"/>
                <w:szCs w:val="22"/>
                <w:lang w:eastAsia="fr-FR"/>
              </w:rPr>
              <w:t xml:space="preserve"> (SdC2)</w:t>
            </w:r>
          </w:p>
        </w:tc>
        <w:tc>
          <w:tcPr>
            <w:tcW w:w="13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10,01</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0,52</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7,49</w:t>
            </w:r>
          </w:p>
        </w:tc>
        <w:tc>
          <w:tcPr>
            <w:tcW w:w="121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2,52</w:t>
            </w:r>
          </w:p>
        </w:tc>
      </w:tr>
      <w:tr w:rsidR="00D15614" w:rsidRPr="00D15614" w:rsidTr="00D15614">
        <w:trPr>
          <w:trHeight w:val="600"/>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CH</w:t>
            </w:r>
            <w:r>
              <w:rPr>
                <w:rFonts w:eastAsia="Calibri" w:cs="Times New Roman"/>
                <w:bCs/>
                <w:color w:val="000000"/>
                <w:szCs w:val="22"/>
                <w:lang w:eastAsia="fr-FR"/>
              </w:rPr>
              <w:t xml:space="preserve"> (SdC1)</w:t>
            </w:r>
          </w:p>
        </w:tc>
        <w:tc>
          <w:tcPr>
            <w:tcW w:w="13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9,5</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1,01</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w:t>
            </w:r>
          </w:p>
        </w:tc>
        <w:tc>
          <w:tcPr>
            <w:tcW w:w="134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6,49</w:t>
            </w:r>
          </w:p>
        </w:tc>
        <w:tc>
          <w:tcPr>
            <w:tcW w:w="121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3,01</w:t>
            </w:r>
          </w:p>
        </w:tc>
      </w:tr>
    </w:tbl>
    <w:p w:rsidR="0040739B" w:rsidRPr="005F070D" w:rsidRDefault="0040739B" w:rsidP="00AE2CF7">
      <w:pPr>
        <w:suppressAutoHyphens w:val="0"/>
        <w:spacing w:after="200" w:line="276" w:lineRule="auto"/>
        <w:jc w:val="both"/>
        <w:rPr>
          <w:rFonts w:eastAsia="Calibri" w:cs="Times New Roman"/>
          <w:sz w:val="24"/>
          <w:lang w:eastAsia="en-US"/>
        </w:rPr>
      </w:pPr>
    </w:p>
    <w:p w:rsidR="007B16C5" w:rsidRPr="007B16C5" w:rsidRDefault="00B60968"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L’IFT total est plus élevé dans le système</w:t>
      </w:r>
      <w:r w:rsidR="00D15614">
        <w:rPr>
          <w:rFonts w:eastAsia="Calibri" w:cs="Times New Roman"/>
          <w:szCs w:val="22"/>
          <w:lang w:eastAsia="en-US"/>
        </w:rPr>
        <w:t xml:space="preserve"> en agriculture biologique</w:t>
      </w:r>
      <w:r w:rsidRPr="007B16C5">
        <w:rPr>
          <w:rFonts w:eastAsia="Calibri" w:cs="Times New Roman"/>
          <w:szCs w:val="22"/>
          <w:lang w:eastAsia="en-US"/>
        </w:rPr>
        <w:t>. La réduction de la surface traitée a permis de diviser par deux l’IFT herbicide entre le SdC 1 et 2. La gestion des bio-agresseurs se fait principalement à l’aide de produits homologués en AB et de produits de biocontrôle</w:t>
      </w:r>
      <w:r w:rsidR="00D15614">
        <w:rPr>
          <w:rFonts w:eastAsia="Calibri" w:cs="Times New Roman"/>
          <w:szCs w:val="22"/>
          <w:lang w:eastAsia="en-US"/>
        </w:rPr>
        <w:t xml:space="preserve"> (cf IFT biocontrôle)</w:t>
      </w:r>
      <w:r w:rsidRPr="007B16C5">
        <w:rPr>
          <w:rFonts w:eastAsia="Calibri" w:cs="Times New Roman"/>
          <w:szCs w:val="22"/>
          <w:lang w:eastAsia="en-US"/>
        </w:rPr>
        <w:t xml:space="preserve">. Ceci permettant d’obtenir un itinéraire technique, dans la modalité en réduction d’intrants, proche de celui appliqué dans le système de référence « LB ». </w:t>
      </w:r>
      <w:r w:rsidR="00D15614">
        <w:rPr>
          <w:rFonts w:eastAsia="Calibri" w:cs="Times New Roman"/>
          <w:szCs w:val="22"/>
          <w:lang w:eastAsia="en-US"/>
        </w:rPr>
        <w:t>On obtient donc une diminution de 14% de l’IFT hors biocontrôle entre le SdC 1 et 2.</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Caffin</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11</w:t>
      </w:r>
      <w:r w:rsidR="008F72D3">
        <w:rPr>
          <w:noProof/>
        </w:rPr>
        <w:fldChar w:fldCharType="end"/>
      </w:r>
      <w:r w:rsidRPr="005F070D">
        <w:t xml:space="preserve"> : indice de fréquence de </w:t>
      </w:r>
      <w:r w:rsidRPr="007B16C5">
        <w:t>traitements</w:t>
      </w:r>
      <w:r w:rsidRPr="005F070D">
        <w:t xml:space="preserve"> par catégorie de produits phytosanitaires</w:t>
      </w:r>
    </w:p>
    <w:tbl>
      <w:tblPr>
        <w:tblW w:w="9185" w:type="dxa"/>
        <w:jc w:val="center"/>
        <w:tblBorders>
          <w:top w:val="single" w:sz="8" w:space="0" w:color="9BBB59"/>
          <w:bottom w:val="single" w:sz="8" w:space="0" w:color="9BBB59"/>
        </w:tblBorders>
        <w:tblLook w:val="04A0" w:firstRow="1" w:lastRow="0" w:firstColumn="1" w:lastColumn="0" w:noHBand="0" w:noVBand="1"/>
      </w:tblPr>
      <w:tblGrid>
        <w:gridCol w:w="1192"/>
        <w:gridCol w:w="1228"/>
        <w:gridCol w:w="1160"/>
        <w:gridCol w:w="1194"/>
        <w:gridCol w:w="1380"/>
        <w:gridCol w:w="1417"/>
        <w:gridCol w:w="1614"/>
      </w:tblGrid>
      <w:tr w:rsidR="00D15614" w:rsidRPr="00D15614" w:rsidTr="00D15614">
        <w:trPr>
          <w:trHeight w:val="696"/>
          <w:jc w:val="center"/>
        </w:trPr>
        <w:tc>
          <w:tcPr>
            <w:tcW w:w="119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Modalité</w:t>
            </w:r>
          </w:p>
        </w:tc>
        <w:tc>
          <w:tcPr>
            <w:tcW w:w="122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Total IFT</w:t>
            </w:r>
          </w:p>
        </w:tc>
        <w:tc>
          <w:tcPr>
            <w:tcW w:w="11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herbicide</w:t>
            </w:r>
          </w:p>
        </w:tc>
        <w:tc>
          <w:tcPr>
            <w:tcW w:w="119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insecticide</w:t>
            </w:r>
          </w:p>
        </w:tc>
        <w:tc>
          <w:tcPr>
            <w:tcW w:w="138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fongicide</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biocont</w:t>
            </w:r>
            <w:r w:rsidR="00B31085">
              <w:rPr>
                <w:rFonts w:eastAsia="Calibri" w:cs="Times New Roman"/>
                <w:bCs/>
                <w:color w:val="000000"/>
                <w:szCs w:val="22"/>
                <w:lang w:eastAsia="fr-FR"/>
              </w:rPr>
              <w:t>r</w:t>
            </w:r>
            <w:r w:rsidRPr="00D15614">
              <w:rPr>
                <w:rFonts w:eastAsia="Calibri" w:cs="Times New Roman"/>
                <w:bCs/>
                <w:color w:val="000000"/>
                <w:szCs w:val="22"/>
                <w:lang w:eastAsia="fr-FR"/>
              </w:rPr>
              <w:t>ôle</w:t>
            </w:r>
          </w:p>
        </w:tc>
        <w:tc>
          <w:tcPr>
            <w:tcW w:w="161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hors biocontrôle</w:t>
            </w:r>
          </w:p>
        </w:tc>
      </w:tr>
      <w:tr w:rsidR="00D15614" w:rsidRPr="00D15614" w:rsidTr="00D15614">
        <w:trPr>
          <w:trHeight w:val="696"/>
          <w:jc w:val="center"/>
        </w:trPr>
        <w:tc>
          <w:tcPr>
            <w:tcW w:w="119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LB</w:t>
            </w:r>
          </w:p>
        </w:tc>
        <w:tc>
          <w:tcPr>
            <w:tcW w:w="122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8,49</w:t>
            </w:r>
          </w:p>
        </w:tc>
        <w:tc>
          <w:tcPr>
            <w:tcW w:w="11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19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38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8,49</w:t>
            </w:r>
          </w:p>
        </w:tc>
        <w:tc>
          <w:tcPr>
            <w:tcW w:w="161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r>
      <w:tr w:rsidR="00D15614" w:rsidRPr="00D15614" w:rsidTr="00D15614">
        <w:trPr>
          <w:trHeight w:val="696"/>
          <w:jc w:val="center"/>
        </w:trPr>
        <w:tc>
          <w:tcPr>
            <w:tcW w:w="119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50%</w:t>
            </w:r>
          </w:p>
        </w:tc>
        <w:tc>
          <w:tcPr>
            <w:tcW w:w="122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9,24</w:t>
            </w:r>
          </w:p>
        </w:tc>
        <w:tc>
          <w:tcPr>
            <w:tcW w:w="11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0,52</w:t>
            </w:r>
          </w:p>
        </w:tc>
        <w:tc>
          <w:tcPr>
            <w:tcW w:w="119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0,23</w:t>
            </w:r>
          </w:p>
        </w:tc>
        <w:tc>
          <w:tcPr>
            <w:tcW w:w="138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7,49</w:t>
            </w:r>
          </w:p>
        </w:tc>
        <w:tc>
          <w:tcPr>
            <w:tcW w:w="161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1,75</w:t>
            </w:r>
          </w:p>
        </w:tc>
      </w:tr>
      <w:tr w:rsidR="00D15614" w:rsidRPr="00D15614" w:rsidTr="00D15614">
        <w:trPr>
          <w:trHeight w:val="696"/>
          <w:jc w:val="center"/>
        </w:trPr>
        <w:tc>
          <w:tcPr>
            <w:tcW w:w="119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CH</w:t>
            </w:r>
          </w:p>
        </w:tc>
        <w:tc>
          <w:tcPr>
            <w:tcW w:w="1228"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10,5</w:t>
            </w:r>
          </w:p>
        </w:tc>
        <w:tc>
          <w:tcPr>
            <w:tcW w:w="116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1,01</w:t>
            </w:r>
          </w:p>
        </w:tc>
        <w:tc>
          <w:tcPr>
            <w:tcW w:w="119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38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7,49</w:t>
            </w:r>
          </w:p>
        </w:tc>
        <w:tc>
          <w:tcPr>
            <w:tcW w:w="1614"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3,01</w:t>
            </w:r>
          </w:p>
        </w:tc>
      </w:tr>
    </w:tbl>
    <w:p w:rsidR="0040739B" w:rsidRPr="005F070D" w:rsidRDefault="0040739B" w:rsidP="00AE2CF7">
      <w:pPr>
        <w:suppressAutoHyphens w:val="0"/>
        <w:spacing w:after="200" w:line="276" w:lineRule="auto"/>
        <w:jc w:val="both"/>
        <w:rPr>
          <w:rFonts w:eastAsia="Calibri" w:cs="Times New Roman"/>
          <w:sz w:val="24"/>
          <w:lang w:eastAsia="en-US"/>
        </w:rPr>
      </w:pPr>
    </w:p>
    <w:p w:rsidR="0040739B" w:rsidRDefault="009319AE"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L’IFT est plus faible que dans la parcelle précédente car</w:t>
      </w:r>
      <w:r w:rsidR="00C21B3A">
        <w:rPr>
          <w:rFonts w:eastAsia="Calibri" w:cs="Times New Roman"/>
          <w:szCs w:val="22"/>
          <w:lang w:eastAsia="en-US"/>
        </w:rPr>
        <w:t xml:space="preserve"> il y a eu moins de traitement contre le Phytophtora (pression moins forte)</w:t>
      </w:r>
      <w:r w:rsidRPr="007B16C5">
        <w:rPr>
          <w:rFonts w:eastAsia="Calibri" w:cs="Times New Roman"/>
          <w:szCs w:val="22"/>
          <w:lang w:eastAsia="en-US"/>
        </w:rPr>
        <w:t>. Le piégeage massif a été utilisé dans toutes les modalités car la pression des cératites est historiquement plus forte dans cette parcelle. Ceci n’a pas em</w:t>
      </w:r>
      <w:r w:rsidR="00977199">
        <w:rPr>
          <w:rFonts w:eastAsia="Calibri" w:cs="Times New Roman"/>
          <w:szCs w:val="22"/>
          <w:lang w:eastAsia="en-US"/>
        </w:rPr>
        <w:t>pêché l’application d’un Syneis</w:t>
      </w:r>
      <w:r w:rsidR="00C21B3A">
        <w:rPr>
          <w:rFonts w:eastAsia="Calibri" w:cs="Times New Roman"/>
          <w:szCs w:val="22"/>
          <w:lang w:eastAsia="en-US"/>
        </w:rPr>
        <w:t xml:space="preserve"> appât® </w:t>
      </w:r>
      <w:r w:rsidR="00E1408C">
        <w:rPr>
          <w:rFonts w:eastAsia="Calibri" w:cs="Times New Roman"/>
          <w:szCs w:val="22"/>
          <w:lang w:eastAsia="en-US"/>
        </w:rPr>
        <w:t xml:space="preserve">(insecticide à base de Spinosad) </w:t>
      </w:r>
      <w:r w:rsidR="00C21B3A">
        <w:rPr>
          <w:rFonts w:eastAsia="Calibri" w:cs="Times New Roman"/>
          <w:szCs w:val="22"/>
          <w:lang w:eastAsia="en-US"/>
        </w:rPr>
        <w:t>dans la modalité « 50%</w:t>
      </w:r>
      <w:r w:rsidRPr="007B16C5">
        <w:rPr>
          <w:rFonts w:eastAsia="Calibri" w:cs="Times New Roman"/>
          <w:szCs w:val="22"/>
          <w:lang w:eastAsia="en-US"/>
        </w:rPr>
        <w:t xml:space="preserve"> », le nombre de cératites ayant </w:t>
      </w:r>
      <w:r w:rsidR="00C21B3A">
        <w:rPr>
          <w:rFonts w:eastAsia="Calibri" w:cs="Times New Roman"/>
          <w:szCs w:val="22"/>
          <w:lang w:eastAsia="en-US"/>
        </w:rPr>
        <w:t xml:space="preserve">dépassé le seuil de nuisibilité. </w:t>
      </w:r>
      <w:r w:rsidR="00226643">
        <w:rPr>
          <w:rFonts w:eastAsia="Calibri" w:cs="Times New Roman"/>
          <w:szCs w:val="22"/>
          <w:lang w:eastAsia="en-US"/>
        </w:rPr>
        <w:t>Dans cette parcelle, l’IFT hors-biocontrôle est diminué de 42% entre le SdC 1 et 2.</w:t>
      </w:r>
    </w:p>
    <w:p w:rsidR="00D15614" w:rsidRDefault="00D15614" w:rsidP="00AE2CF7">
      <w:pPr>
        <w:suppressAutoHyphens w:val="0"/>
        <w:spacing w:after="200" w:line="276" w:lineRule="auto"/>
        <w:jc w:val="both"/>
        <w:rPr>
          <w:rFonts w:eastAsia="Calibri" w:cs="Times New Roman"/>
          <w:szCs w:val="22"/>
          <w:lang w:eastAsia="en-US"/>
        </w:rPr>
      </w:pPr>
    </w:p>
    <w:p w:rsidR="00226643" w:rsidRDefault="00226643" w:rsidP="00AE2CF7">
      <w:pPr>
        <w:suppressAutoHyphens w:val="0"/>
        <w:spacing w:after="200" w:line="276" w:lineRule="auto"/>
        <w:jc w:val="both"/>
        <w:rPr>
          <w:rFonts w:eastAsia="Calibri" w:cs="Times New Roman"/>
          <w:szCs w:val="22"/>
          <w:lang w:eastAsia="en-US"/>
        </w:rPr>
      </w:pPr>
    </w:p>
    <w:p w:rsidR="00827897" w:rsidRDefault="00827897" w:rsidP="00AE2CF7">
      <w:pPr>
        <w:suppressAutoHyphens w:val="0"/>
        <w:spacing w:after="200" w:line="276" w:lineRule="auto"/>
        <w:jc w:val="both"/>
        <w:rPr>
          <w:rFonts w:eastAsia="Calibri" w:cs="Times New Roman"/>
          <w:szCs w:val="22"/>
          <w:lang w:eastAsia="en-US"/>
        </w:rPr>
      </w:pPr>
    </w:p>
    <w:p w:rsidR="00D15614" w:rsidRPr="007B16C5" w:rsidRDefault="00D15614" w:rsidP="00AE2CF7">
      <w:pPr>
        <w:suppressAutoHyphens w:val="0"/>
        <w:spacing w:after="200" w:line="276" w:lineRule="auto"/>
        <w:jc w:val="both"/>
        <w:rPr>
          <w:rFonts w:eastAsia="Calibri" w:cs="Times New Roman"/>
          <w:szCs w:val="22"/>
          <w:lang w:eastAsia="en-US"/>
        </w:rPr>
      </w:pPr>
    </w:p>
    <w:p w:rsidR="0040739B" w:rsidRPr="005F070D" w:rsidRDefault="0040739B" w:rsidP="00AE2CF7">
      <w:pPr>
        <w:suppressAutoHyphens w:val="0"/>
        <w:spacing w:after="200" w:line="276" w:lineRule="auto"/>
        <w:rPr>
          <w:rFonts w:eastAsia="Calibri" w:cs="Times New Roman"/>
          <w:i/>
          <w:color w:val="F79646"/>
          <w:sz w:val="24"/>
          <w:lang w:eastAsia="en-US"/>
        </w:rPr>
      </w:pPr>
      <w:r w:rsidRPr="005F070D">
        <w:rPr>
          <w:rFonts w:eastAsia="Calibri" w:cs="Times New Roman"/>
          <w:i/>
          <w:color w:val="F79646"/>
          <w:sz w:val="24"/>
          <w:lang w:eastAsia="en-US"/>
        </w:rPr>
        <w:t>SRA 92</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12</w:t>
      </w:r>
      <w:r w:rsidR="008F72D3">
        <w:rPr>
          <w:noProof/>
        </w:rPr>
        <w:fldChar w:fldCharType="end"/>
      </w:r>
      <w:r w:rsidRPr="005F070D">
        <w:t xml:space="preserve"> : indice de fréquence de traitements par </w:t>
      </w:r>
      <w:r w:rsidRPr="007B16C5">
        <w:t>catégories</w:t>
      </w:r>
      <w:r w:rsidRPr="005F070D">
        <w:t xml:space="preserve"> de produits phytosanitaires</w:t>
      </w:r>
    </w:p>
    <w:tbl>
      <w:tblPr>
        <w:tblW w:w="9180" w:type="dxa"/>
        <w:jc w:val="center"/>
        <w:tblBorders>
          <w:top w:val="single" w:sz="8" w:space="0" w:color="9BBB59"/>
          <w:bottom w:val="single" w:sz="8" w:space="0" w:color="9BBB59"/>
        </w:tblBorders>
        <w:tblLayout w:type="fixed"/>
        <w:tblLook w:val="04A0" w:firstRow="1" w:lastRow="0" w:firstColumn="1" w:lastColumn="0" w:noHBand="0" w:noVBand="1"/>
      </w:tblPr>
      <w:tblGrid>
        <w:gridCol w:w="1200"/>
        <w:gridCol w:w="1200"/>
        <w:gridCol w:w="1200"/>
        <w:gridCol w:w="1200"/>
        <w:gridCol w:w="1262"/>
        <w:gridCol w:w="1417"/>
        <w:gridCol w:w="1701"/>
      </w:tblGrid>
      <w:tr w:rsidR="00D15614" w:rsidRPr="00D15614" w:rsidTr="00D15614">
        <w:trPr>
          <w:trHeight w:val="662"/>
          <w:jc w:val="center"/>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Modalité</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Total IFT</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herbicide</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insecticide</w:t>
            </w:r>
          </w:p>
        </w:tc>
        <w:tc>
          <w:tcPr>
            <w:tcW w:w="126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fongicide</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biocont</w:t>
            </w:r>
            <w:r w:rsidR="00B31085">
              <w:rPr>
                <w:rFonts w:eastAsia="Calibri" w:cs="Times New Roman"/>
                <w:bCs/>
                <w:color w:val="000000"/>
                <w:szCs w:val="22"/>
                <w:lang w:eastAsia="fr-FR"/>
              </w:rPr>
              <w:t>r</w:t>
            </w:r>
            <w:r w:rsidRPr="00D15614">
              <w:rPr>
                <w:rFonts w:eastAsia="Calibri" w:cs="Times New Roman"/>
                <w:bCs/>
                <w:color w:val="000000"/>
                <w:szCs w:val="22"/>
                <w:lang w:eastAsia="fr-FR"/>
              </w:rPr>
              <w:t>ôle</w:t>
            </w:r>
          </w:p>
        </w:tc>
        <w:tc>
          <w:tcPr>
            <w:tcW w:w="1701"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IFT hors biocontrôle</w:t>
            </w:r>
          </w:p>
        </w:tc>
      </w:tr>
      <w:tr w:rsidR="00D15614" w:rsidRPr="00D15614" w:rsidTr="00D15614">
        <w:trPr>
          <w:trHeight w:val="662"/>
          <w:jc w:val="center"/>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LB</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8,49</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26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8,49</w:t>
            </w:r>
          </w:p>
        </w:tc>
        <w:tc>
          <w:tcPr>
            <w:tcW w:w="1701"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r>
      <w:tr w:rsidR="00D15614" w:rsidRPr="00D15614" w:rsidTr="00D15614">
        <w:trPr>
          <w:trHeight w:val="662"/>
          <w:jc w:val="center"/>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50%</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8,99</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0,5</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w:t>
            </w:r>
          </w:p>
        </w:tc>
        <w:tc>
          <w:tcPr>
            <w:tcW w:w="126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7,49</w:t>
            </w:r>
          </w:p>
        </w:tc>
        <w:tc>
          <w:tcPr>
            <w:tcW w:w="1701"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1,5</w:t>
            </w:r>
          </w:p>
        </w:tc>
      </w:tr>
      <w:tr w:rsidR="00D15614" w:rsidRPr="00D15614" w:rsidTr="00D15614">
        <w:trPr>
          <w:trHeight w:val="662"/>
          <w:jc w:val="center"/>
        </w:trPr>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CH</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9,74</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1,01</w:t>
            </w:r>
          </w:p>
        </w:tc>
        <w:tc>
          <w:tcPr>
            <w:tcW w:w="1200"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0,23</w:t>
            </w:r>
          </w:p>
        </w:tc>
        <w:tc>
          <w:tcPr>
            <w:tcW w:w="1262"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2</w:t>
            </w:r>
          </w:p>
        </w:tc>
        <w:tc>
          <w:tcPr>
            <w:tcW w:w="1417"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6,49</w:t>
            </w:r>
          </w:p>
        </w:tc>
        <w:tc>
          <w:tcPr>
            <w:tcW w:w="1701" w:type="dxa"/>
            <w:tcBorders>
              <w:top w:val="single" w:sz="8" w:space="0" w:color="9BBB59"/>
              <w:left w:val="nil"/>
              <w:bottom w:val="single" w:sz="8" w:space="0" w:color="9BBB59"/>
              <w:right w:val="nil"/>
            </w:tcBorders>
            <w:shd w:val="clear" w:color="auto" w:fill="auto"/>
            <w:vAlign w:val="center"/>
          </w:tcPr>
          <w:p w:rsidR="00D15614" w:rsidRPr="00D15614" w:rsidRDefault="00D15614" w:rsidP="00D15614">
            <w:pPr>
              <w:suppressAutoHyphens w:val="0"/>
              <w:spacing w:after="0" w:line="276" w:lineRule="auto"/>
              <w:jc w:val="center"/>
              <w:rPr>
                <w:rFonts w:eastAsia="Calibri" w:cs="Times New Roman"/>
                <w:bCs/>
                <w:color w:val="000000"/>
                <w:szCs w:val="22"/>
                <w:lang w:eastAsia="fr-FR"/>
              </w:rPr>
            </w:pPr>
            <w:r w:rsidRPr="00D15614">
              <w:rPr>
                <w:rFonts w:eastAsia="Calibri" w:cs="Times New Roman"/>
                <w:bCs/>
                <w:color w:val="000000"/>
                <w:szCs w:val="22"/>
                <w:lang w:eastAsia="fr-FR"/>
              </w:rPr>
              <w:t>3,25</w:t>
            </w:r>
          </w:p>
        </w:tc>
      </w:tr>
    </w:tbl>
    <w:p w:rsidR="009319AE" w:rsidRPr="005F070D" w:rsidRDefault="009319AE" w:rsidP="00AE2CF7">
      <w:pPr>
        <w:suppressAutoHyphens w:val="0"/>
        <w:spacing w:after="200" w:line="276" w:lineRule="auto"/>
        <w:jc w:val="both"/>
        <w:rPr>
          <w:rFonts w:eastAsia="Calibri" w:cs="Times New Roman"/>
          <w:sz w:val="24"/>
          <w:lang w:eastAsia="en-US"/>
        </w:rPr>
      </w:pPr>
    </w:p>
    <w:p w:rsidR="0040739B" w:rsidRPr="007B16C5" w:rsidRDefault="00783590"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L’IFT hors</w:t>
      </w:r>
      <w:r w:rsidR="007D4D45" w:rsidRPr="007B16C5">
        <w:rPr>
          <w:rFonts w:eastAsia="Calibri" w:cs="Times New Roman"/>
          <w:szCs w:val="22"/>
          <w:lang w:eastAsia="en-US"/>
        </w:rPr>
        <w:t xml:space="preserve">-biocontrôle a été diminué de </w:t>
      </w:r>
      <w:r w:rsidR="00226643">
        <w:rPr>
          <w:rFonts w:eastAsia="Calibri" w:cs="Times New Roman"/>
          <w:szCs w:val="22"/>
          <w:lang w:eastAsia="en-US"/>
        </w:rPr>
        <w:t>54</w:t>
      </w:r>
      <w:r w:rsidR="007D4D45" w:rsidRPr="007B16C5">
        <w:rPr>
          <w:rFonts w:eastAsia="Calibri" w:cs="Times New Roman"/>
          <w:szCs w:val="22"/>
          <w:lang w:eastAsia="en-US"/>
        </w:rPr>
        <w:t xml:space="preserve"> </w:t>
      </w:r>
      <w:r w:rsidRPr="007B16C5">
        <w:rPr>
          <w:rFonts w:eastAsia="Calibri" w:cs="Times New Roman"/>
          <w:szCs w:val="22"/>
          <w:lang w:eastAsia="en-US"/>
        </w:rPr>
        <w:t>% entre la modalité « CH » et «50% »</w:t>
      </w:r>
      <w:r w:rsidR="00226643">
        <w:rPr>
          <w:rFonts w:eastAsia="Calibri" w:cs="Times New Roman"/>
          <w:szCs w:val="22"/>
          <w:lang w:eastAsia="en-US"/>
        </w:rPr>
        <w:t>, c’est dans cette parcelle que la diminution est la plus importante</w:t>
      </w:r>
      <w:r w:rsidRPr="007B16C5">
        <w:rPr>
          <w:rFonts w:eastAsia="Calibri" w:cs="Times New Roman"/>
          <w:szCs w:val="22"/>
          <w:lang w:eastAsia="en-US"/>
        </w:rPr>
        <w:t xml:space="preserve">. Les mêmes constats que dans les autres parcelles peuvent être faits ici. </w:t>
      </w:r>
      <w:r w:rsidR="007C34B9">
        <w:rPr>
          <w:rFonts w:eastAsia="Calibri" w:cs="Times New Roman"/>
          <w:szCs w:val="22"/>
          <w:lang w:eastAsia="en-US"/>
        </w:rPr>
        <w:t>Dans cette parcelle, la pression de Cératite a été plus importante dans le SdC 1 ce qui a entraîner une application d’un insecticide.</w:t>
      </w:r>
    </w:p>
    <w:p w:rsidR="00907260" w:rsidRPr="007B16C5" w:rsidRDefault="00907260"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 xml:space="preserve">Sur l’ensemble des parcelles, l’IFT </w:t>
      </w:r>
      <w:r w:rsidR="00226643">
        <w:rPr>
          <w:rFonts w:eastAsia="Calibri" w:cs="Times New Roman"/>
          <w:szCs w:val="22"/>
          <w:lang w:eastAsia="en-US"/>
        </w:rPr>
        <w:t>global est sensiblement le même dans les trois SdC</w:t>
      </w:r>
      <w:r w:rsidRPr="007B16C5">
        <w:rPr>
          <w:rFonts w:eastAsia="Calibri" w:cs="Times New Roman"/>
          <w:szCs w:val="22"/>
          <w:lang w:eastAsia="en-US"/>
        </w:rPr>
        <w:t xml:space="preserve">. </w:t>
      </w:r>
      <w:r w:rsidR="00226643">
        <w:rPr>
          <w:rFonts w:eastAsia="Calibri" w:cs="Times New Roman"/>
          <w:szCs w:val="22"/>
          <w:lang w:eastAsia="en-US"/>
        </w:rPr>
        <w:t>La diminution n’est observable que lorsque l’on prend en compte les produits de biocontrôle utilisés.</w:t>
      </w:r>
    </w:p>
    <w:p w:rsidR="0040739B" w:rsidRPr="005F070D" w:rsidRDefault="0040739B" w:rsidP="00AE2CF7">
      <w:pPr>
        <w:suppressAutoHyphens w:val="0"/>
        <w:spacing w:after="200" w:line="276" w:lineRule="auto"/>
        <w:rPr>
          <w:rFonts w:eastAsia="Calibri" w:cs="Times New Roman"/>
          <w:b/>
          <w:sz w:val="24"/>
          <w:lang w:eastAsia="en-US"/>
        </w:rPr>
      </w:pPr>
      <w:r w:rsidRPr="005F070D">
        <w:rPr>
          <w:rFonts w:eastAsia="Calibri" w:cs="Times New Roman"/>
          <w:b/>
          <w:sz w:val="24"/>
          <w:lang w:eastAsia="en-US"/>
        </w:rPr>
        <w:t>Les indicateurs agronomiques</w:t>
      </w:r>
    </w:p>
    <w:p w:rsidR="0040739B" w:rsidRPr="007B16C5" w:rsidRDefault="0040739B" w:rsidP="00AE2CF7">
      <w:pPr>
        <w:suppressAutoHyphens w:val="0"/>
        <w:spacing w:after="200" w:line="276" w:lineRule="auto"/>
        <w:jc w:val="both"/>
        <w:rPr>
          <w:rFonts w:eastAsia="Calibri" w:cs="Times New Roman"/>
          <w:szCs w:val="22"/>
          <w:u w:val="single"/>
          <w:lang w:eastAsia="en-US"/>
        </w:rPr>
      </w:pPr>
      <w:r w:rsidRPr="007B16C5">
        <w:rPr>
          <w:rFonts w:eastAsia="Calibri" w:cs="Times New Roman"/>
          <w:szCs w:val="22"/>
          <w:u w:val="single"/>
          <w:lang w:eastAsia="en-US"/>
        </w:rPr>
        <w:t>L’analyse physico-chimique des fruits</w:t>
      </w:r>
    </w:p>
    <w:p w:rsidR="00907260" w:rsidRPr="0063363B" w:rsidRDefault="00907260"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Pour l’ensemble des parcelles, l’analyse de jus a été effectuée sur un jus de 100 fruits de tout calibre</w:t>
      </w:r>
      <w:r w:rsidR="00977199">
        <w:rPr>
          <w:rFonts w:eastAsia="Calibri" w:cs="Times New Roman"/>
          <w:szCs w:val="22"/>
          <w:lang w:eastAsia="en-US"/>
        </w:rPr>
        <w:t xml:space="preserve"> une semaine avant la récolte</w:t>
      </w:r>
      <w:r w:rsidRPr="007B16C5">
        <w:rPr>
          <w:rFonts w:eastAsia="Calibri" w:cs="Times New Roman"/>
          <w:szCs w:val="22"/>
          <w:lang w:eastAsia="en-US"/>
        </w:rPr>
        <w:t xml:space="preserve">. Le sucre a été mesuré grâce à un réfractomètre et l’acidité à l’aide d’un titrateur (matériel de l’INRA San Giuliano). </w:t>
      </w:r>
      <w:r w:rsidR="006967EC" w:rsidRPr="007B16C5">
        <w:rPr>
          <w:rFonts w:eastAsia="Calibri" w:cs="Times New Roman"/>
          <w:szCs w:val="22"/>
          <w:lang w:eastAsia="en-US"/>
        </w:rPr>
        <w:t>La teneur en sucre est exprimé</w:t>
      </w:r>
      <w:r w:rsidR="007A6576" w:rsidRPr="007B16C5">
        <w:rPr>
          <w:rFonts w:eastAsia="Calibri" w:cs="Times New Roman"/>
          <w:szCs w:val="22"/>
          <w:lang w:eastAsia="en-US"/>
        </w:rPr>
        <w:t>e</w:t>
      </w:r>
      <w:r w:rsidR="006967EC" w:rsidRPr="007B16C5">
        <w:rPr>
          <w:rFonts w:eastAsia="Calibri" w:cs="Times New Roman"/>
          <w:szCs w:val="22"/>
          <w:lang w:eastAsia="en-US"/>
        </w:rPr>
        <w:t xml:space="preserve"> en ° Brix et l’acidité en quantité (gramme) d’acide citrique pour 100 g de jus.</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SRA 85</w:t>
      </w:r>
    </w:p>
    <w:p w:rsidR="0040739B" w:rsidRPr="007B16C5" w:rsidRDefault="0040739B" w:rsidP="00AE2CF7">
      <w:pPr>
        <w:numPr>
          <w:ilvl w:val="0"/>
          <w:numId w:val="25"/>
        </w:numPr>
        <w:suppressAutoHyphens w:val="0"/>
        <w:spacing w:after="200" w:line="276" w:lineRule="auto"/>
        <w:contextualSpacing/>
        <w:jc w:val="both"/>
        <w:rPr>
          <w:rFonts w:eastAsia="Calibri" w:cs="Times New Roman"/>
          <w:szCs w:val="22"/>
          <w:lang w:eastAsia="en-US"/>
        </w:rPr>
      </w:pPr>
      <w:r w:rsidRPr="007B16C5">
        <w:rPr>
          <w:rFonts w:eastAsia="Calibri" w:cs="Times New Roman"/>
          <w:szCs w:val="22"/>
          <w:lang w:eastAsia="en-US"/>
        </w:rPr>
        <w:t>Le pourcentage de jus</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13</w:t>
      </w:r>
      <w:r w:rsidR="008F72D3">
        <w:rPr>
          <w:noProof/>
        </w:rPr>
        <w:fldChar w:fldCharType="end"/>
      </w:r>
      <w:r w:rsidRPr="005F070D">
        <w:t xml:space="preserve"> : </w:t>
      </w:r>
      <w:r w:rsidRPr="007B16C5">
        <w:t>pourcentage</w:t>
      </w:r>
      <w:r w:rsidRPr="005F070D">
        <w:t xml:space="preserve"> de jus</w:t>
      </w:r>
      <w:r w:rsidR="00F830A5" w:rsidRPr="005F070D">
        <w:t xml:space="preserve"> par modalité</w:t>
      </w:r>
    </w:p>
    <w:tbl>
      <w:tblPr>
        <w:tblW w:w="0" w:type="auto"/>
        <w:jc w:val="center"/>
        <w:tblBorders>
          <w:top w:val="single" w:sz="8" w:space="0" w:color="8064A2"/>
          <w:bottom w:val="single" w:sz="8" w:space="0" w:color="8064A2"/>
        </w:tblBorders>
        <w:tblLook w:val="04A0" w:firstRow="1" w:lastRow="0" w:firstColumn="1" w:lastColumn="0" w:noHBand="0" w:noVBand="1"/>
      </w:tblPr>
      <w:tblGrid>
        <w:gridCol w:w="1011"/>
        <w:gridCol w:w="711"/>
      </w:tblGrid>
      <w:tr w:rsidR="00F830A5" w:rsidRPr="005F070D" w:rsidTr="002E30DB">
        <w:trPr>
          <w:trHeight w:val="300"/>
          <w:jc w:val="center"/>
        </w:trPr>
        <w:tc>
          <w:tcPr>
            <w:tcW w:w="0" w:type="auto"/>
            <w:tcBorders>
              <w:top w:val="single" w:sz="8" w:space="0" w:color="8064A2"/>
              <w:left w:val="nil"/>
              <w:bottom w:val="single" w:sz="8" w:space="0" w:color="8064A2"/>
              <w:right w:val="nil"/>
            </w:tcBorders>
            <w:shd w:val="clear" w:color="auto" w:fill="auto"/>
            <w:noWrap/>
            <w:hideMark/>
          </w:tcPr>
          <w:p w:rsidR="00F830A5" w:rsidRPr="007B16C5" w:rsidRDefault="00F830A5" w:rsidP="00AE2CF7">
            <w:pPr>
              <w:suppressAutoHyphens w:val="0"/>
              <w:spacing w:after="0" w:line="276" w:lineRule="auto"/>
              <w:jc w:val="center"/>
              <w:rPr>
                <w:rFonts w:eastAsia="Calibri" w:cs="Times New Roman"/>
                <w:bCs/>
                <w:color w:val="000000"/>
                <w:szCs w:val="22"/>
                <w:lang w:eastAsia="fr-FR"/>
              </w:rPr>
            </w:pPr>
            <w:r w:rsidRPr="007B16C5">
              <w:rPr>
                <w:rFonts w:eastAsia="Calibri" w:cs="Times New Roman"/>
                <w:bCs/>
                <w:color w:val="000000"/>
                <w:szCs w:val="22"/>
                <w:lang w:eastAsia="fr-FR"/>
              </w:rPr>
              <w:t>Modalité</w:t>
            </w:r>
          </w:p>
        </w:tc>
        <w:tc>
          <w:tcPr>
            <w:tcW w:w="0" w:type="auto"/>
            <w:tcBorders>
              <w:top w:val="single" w:sz="8" w:space="0" w:color="8064A2"/>
              <w:left w:val="nil"/>
              <w:bottom w:val="single" w:sz="8" w:space="0" w:color="8064A2"/>
              <w:right w:val="nil"/>
            </w:tcBorders>
            <w:shd w:val="clear" w:color="auto" w:fill="auto"/>
            <w:noWrap/>
            <w:hideMark/>
          </w:tcPr>
          <w:p w:rsidR="00F830A5" w:rsidRPr="007B16C5" w:rsidRDefault="00F830A5" w:rsidP="00AE2CF7">
            <w:pPr>
              <w:suppressAutoHyphens w:val="0"/>
              <w:spacing w:after="0" w:line="276" w:lineRule="auto"/>
              <w:jc w:val="center"/>
              <w:rPr>
                <w:rFonts w:eastAsia="Calibri" w:cs="Times New Roman"/>
                <w:bCs/>
                <w:color w:val="000000"/>
                <w:szCs w:val="22"/>
                <w:lang w:eastAsia="fr-FR"/>
              </w:rPr>
            </w:pPr>
            <w:r w:rsidRPr="007B16C5">
              <w:rPr>
                <w:rFonts w:eastAsia="Calibri" w:cs="Times New Roman"/>
                <w:bCs/>
                <w:color w:val="000000"/>
                <w:szCs w:val="22"/>
                <w:lang w:eastAsia="fr-FR"/>
              </w:rPr>
              <w:t xml:space="preserve">% jus </w:t>
            </w:r>
          </w:p>
        </w:tc>
      </w:tr>
      <w:tr w:rsidR="004A771B" w:rsidRPr="005F070D" w:rsidTr="007A222C">
        <w:trPr>
          <w:trHeight w:val="300"/>
          <w:jc w:val="center"/>
        </w:trPr>
        <w:tc>
          <w:tcPr>
            <w:tcW w:w="0" w:type="auto"/>
            <w:tcBorders>
              <w:left w:val="nil"/>
              <w:right w:val="nil"/>
            </w:tcBorders>
            <w:shd w:val="clear" w:color="auto" w:fill="DFD8E8"/>
            <w:noWrap/>
            <w:hideMark/>
          </w:tcPr>
          <w:p w:rsidR="004A771B" w:rsidRPr="007B16C5" w:rsidRDefault="004A771B" w:rsidP="00AE2CF7">
            <w:pPr>
              <w:suppressAutoHyphens w:val="0"/>
              <w:spacing w:after="0" w:line="276" w:lineRule="auto"/>
              <w:jc w:val="center"/>
              <w:rPr>
                <w:rFonts w:eastAsia="Calibri" w:cs="Times New Roman"/>
                <w:bCs/>
                <w:color w:val="000000"/>
                <w:szCs w:val="22"/>
                <w:lang w:eastAsia="fr-FR"/>
              </w:rPr>
            </w:pPr>
            <w:r w:rsidRPr="007B16C5">
              <w:rPr>
                <w:rFonts w:eastAsia="Calibri" w:cs="Times New Roman"/>
                <w:bCs/>
                <w:color w:val="000000"/>
                <w:szCs w:val="22"/>
                <w:lang w:eastAsia="fr-FR"/>
              </w:rPr>
              <w:t xml:space="preserve">LB </w:t>
            </w:r>
          </w:p>
        </w:tc>
        <w:tc>
          <w:tcPr>
            <w:tcW w:w="0" w:type="auto"/>
            <w:tcBorders>
              <w:left w:val="nil"/>
              <w:right w:val="nil"/>
            </w:tcBorders>
            <w:shd w:val="clear" w:color="auto" w:fill="DFD8E8"/>
            <w:noWrap/>
          </w:tcPr>
          <w:p w:rsidR="004A771B" w:rsidRPr="007A6A51" w:rsidRDefault="004A771B" w:rsidP="00AE2CF7">
            <w:pPr>
              <w:spacing w:line="276" w:lineRule="auto"/>
            </w:pPr>
            <w:r w:rsidRPr="007A6A51">
              <w:t>48%</w:t>
            </w:r>
          </w:p>
        </w:tc>
      </w:tr>
      <w:tr w:rsidR="004A771B" w:rsidRPr="005F070D" w:rsidTr="007A222C">
        <w:trPr>
          <w:trHeight w:val="300"/>
          <w:jc w:val="center"/>
        </w:trPr>
        <w:tc>
          <w:tcPr>
            <w:tcW w:w="0" w:type="auto"/>
            <w:shd w:val="clear" w:color="auto" w:fill="auto"/>
            <w:noWrap/>
            <w:hideMark/>
          </w:tcPr>
          <w:p w:rsidR="004A771B" w:rsidRPr="007B16C5" w:rsidRDefault="004A771B" w:rsidP="00AE2CF7">
            <w:pPr>
              <w:suppressAutoHyphens w:val="0"/>
              <w:spacing w:after="0" w:line="276" w:lineRule="auto"/>
              <w:jc w:val="center"/>
              <w:rPr>
                <w:rFonts w:eastAsia="Calibri" w:cs="Times New Roman"/>
                <w:bCs/>
                <w:color w:val="000000"/>
                <w:szCs w:val="22"/>
                <w:lang w:eastAsia="fr-FR"/>
              </w:rPr>
            </w:pPr>
            <w:r w:rsidRPr="007B16C5">
              <w:rPr>
                <w:rFonts w:eastAsia="Calibri" w:cs="Times New Roman"/>
                <w:bCs/>
                <w:color w:val="000000"/>
                <w:szCs w:val="22"/>
                <w:lang w:eastAsia="fr-FR"/>
              </w:rPr>
              <w:t>50%</w:t>
            </w:r>
          </w:p>
        </w:tc>
        <w:tc>
          <w:tcPr>
            <w:tcW w:w="0" w:type="auto"/>
            <w:shd w:val="clear" w:color="auto" w:fill="auto"/>
            <w:noWrap/>
          </w:tcPr>
          <w:p w:rsidR="004A771B" w:rsidRPr="007A6A51" w:rsidRDefault="004A771B" w:rsidP="00AE2CF7">
            <w:pPr>
              <w:spacing w:line="276" w:lineRule="auto"/>
            </w:pPr>
            <w:r w:rsidRPr="007A6A51">
              <w:t>48%</w:t>
            </w:r>
          </w:p>
        </w:tc>
      </w:tr>
      <w:tr w:rsidR="004A771B" w:rsidRPr="005F070D" w:rsidTr="007A222C">
        <w:trPr>
          <w:trHeight w:val="300"/>
          <w:jc w:val="center"/>
        </w:trPr>
        <w:tc>
          <w:tcPr>
            <w:tcW w:w="0" w:type="auto"/>
            <w:tcBorders>
              <w:left w:val="nil"/>
              <w:right w:val="nil"/>
            </w:tcBorders>
            <w:shd w:val="clear" w:color="auto" w:fill="DFD8E8"/>
            <w:noWrap/>
            <w:hideMark/>
          </w:tcPr>
          <w:p w:rsidR="004A771B" w:rsidRPr="007B16C5" w:rsidRDefault="004A771B" w:rsidP="00AE2CF7">
            <w:pPr>
              <w:suppressAutoHyphens w:val="0"/>
              <w:spacing w:after="0" w:line="276" w:lineRule="auto"/>
              <w:jc w:val="center"/>
              <w:rPr>
                <w:rFonts w:eastAsia="Calibri" w:cs="Times New Roman"/>
                <w:bCs/>
                <w:color w:val="000000"/>
                <w:szCs w:val="22"/>
                <w:lang w:eastAsia="fr-FR"/>
              </w:rPr>
            </w:pPr>
            <w:r w:rsidRPr="007B16C5">
              <w:rPr>
                <w:rFonts w:eastAsia="Calibri" w:cs="Times New Roman"/>
                <w:bCs/>
                <w:color w:val="000000"/>
                <w:szCs w:val="22"/>
                <w:lang w:eastAsia="fr-FR"/>
              </w:rPr>
              <w:t>CH</w:t>
            </w:r>
          </w:p>
        </w:tc>
        <w:tc>
          <w:tcPr>
            <w:tcW w:w="0" w:type="auto"/>
            <w:tcBorders>
              <w:left w:val="nil"/>
              <w:right w:val="nil"/>
            </w:tcBorders>
            <w:shd w:val="clear" w:color="auto" w:fill="DFD8E8"/>
            <w:noWrap/>
          </w:tcPr>
          <w:p w:rsidR="004A771B" w:rsidRDefault="004A771B" w:rsidP="00AE2CF7">
            <w:pPr>
              <w:spacing w:line="276" w:lineRule="auto"/>
            </w:pPr>
            <w:r w:rsidRPr="007A6A51">
              <w:t>48%</w:t>
            </w:r>
          </w:p>
        </w:tc>
      </w:tr>
    </w:tbl>
    <w:p w:rsidR="0040739B" w:rsidRPr="005F070D" w:rsidRDefault="0040739B" w:rsidP="00AE2CF7">
      <w:pPr>
        <w:suppressAutoHyphens w:val="0"/>
        <w:spacing w:after="200" w:line="276" w:lineRule="auto"/>
        <w:jc w:val="both"/>
        <w:rPr>
          <w:rFonts w:eastAsia="Calibri" w:cs="Times New Roman"/>
          <w:sz w:val="24"/>
          <w:lang w:eastAsia="en-US"/>
        </w:rPr>
      </w:pPr>
    </w:p>
    <w:p w:rsidR="00F830A5" w:rsidRDefault="004A771B"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Le pourcentage de jus est le même dans tous les SdC</w:t>
      </w:r>
      <w:r w:rsidR="006C6D0F">
        <w:rPr>
          <w:rFonts w:eastAsia="Calibri" w:cs="Times New Roman"/>
          <w:szCs w:val="22"/>
          <w:lang w:eastAsia="en-US"/>
        </w:rPr>
        <w:t>s</w:t>
      </w:r>
      <w:r>
        <w:rPr>
          <w:rFonts w:eastAsia="Calibri" w:cs="Times New Roman"/>
          <w:szCs w:val="22"/>
          <w:lang w:eastAsia="en-US"/>
        </w:rPr>
        <w:t>.</w:t>
      </w: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Pr="007B16C5" w:rsidRDefault="00A265EB" w:rsidP="00AE2CF7">
      <w:pPr>
        <w:suppressAutoHyphens w:val="0"/>
        <w:spacing w:after="200" w:line="276" w:lineRule="auto"/>
        <w:jc w:val="both"/>
        <w:rPr>
          <w:rFonts w:eastAsia="Calibri" w:cs="Times New Roman"/>
          <w:szCs w:val="22"/>
          <w:lang w:eastAsia="en-US"/>
        </w:rPr>
      </w:pPr>
    </w:p>
    <w:p w:rsidR="007B16C5" w:rsidRDefault="0040739B" w:rsidP="00AE2CF7">
      <w:pPr>
        <w:numPr>
          <w:ilvl w:val="0"/>
          <w:numId w:val="25"/>
        </w:numPr>
        <w:suppressAutoHyphens w:val="0"/>
        <w:spacing w:after="200" w:line="276" w:lineRule="auto"/>
        <w:contextualSpacing/>
        <w:jc w:val="both"/>
        <w:rPr>
          <w:rFonts w:eastAsia="Calibri" w:cs="Times New Roman"/>
          <w:szCs w:val="22"/>
          <w:lang w:eastAsia="en-US"/>
        </w:rPr>
      </w:pPr>
      <w:r w:rsidRPr="007B16C5">
        <w:rPr>
          <w:rFonts w:eastAsia="Calibri" w:cs="Times New Roman"/>
          <w:szCs w:val="22"/>
          <w:lang w:eastAsia="en-US"/>
        </w:rPr>
        <w:t>La teneur en sucre</w:t>
      </w:r>
      <w:r w:rsidR="00F830A5" w:rsidRPr="007B16C5">
        <w:rPr>
          <w:rFonts w:eastAsia="Calibri" w:cs="Times New Roman"/>
          <w:szCs w:val="22"/>
          <w:lang w:eastAsia="en-US"/>
        </w:rPr>
        <w:t xml:space="preserve"> et l’acidité</w:t>
      </w:r>
    </w:p>
    <w:p w:rsidR="007B16C5" w:rsidRPr="007B16C5" w:rsidRDefault="007B16C5" w:rsidP="00AE2CF7">
      <w:pPr>
        <w:suppressAutoHyphens w:val="0"/>
        <w:spacing w:after="200" w:line="276" w:lineRule="auto"/>
        <w:contextualSpacing/>
        <w:jc w:val="both"/>
        <w:rPr>
          <w:rFonts w:eastAsia="Calibri" w:cs="Times New Roman"/>
          <w:szCs w:val="22"/>
          <w:lang w:eastAsia="en-US"/>
        </w:rPr>
      </w:pPr>
    </w:p>
    <w:p w:rsidR="00F830A5" w:rsidRPr="005F070D" w:rsidRDefault="004A771B" w:rsidP="00AE2CF7">
      <w:pPr>
        <w:keepNext/>
        <w:suppressAutoHyphens w:val="0"/>
        <w:spacing w:after="200" w:line="276" w:lineRule="auto"/>
        <w:contextualSpacing/>
        <w:jc w:val="center"/>
        <w:rPr>
          <w:rFonts w:cs="Times New Roman"/>
          <w:sz w:val="24"/>
        </w:rPr>
      </w:pPr>
      <w:r>
        <w:rPr>
          <w:noProof/>
          <w:lang w:eastAsia="fr-FR"/>
        </w:rPr>
        <w:drawing>
          <wp:inline distT="0" distB="0" distL="0" distR="0" wp14:anchorId="18322C0E" wp14:editId="57D0CC4F">
            <wp:extent cx="4320000" cy="2520000"/>
            <wp:effectExtent l="0" t="0" r="23495" b="1397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30A5" w:rsidRDefault="00F830A5" w:rsidP="00AE2CF7">
      <w:pPr>
        <w:pStyle w:val="Lgende"/>
        <w:spacing w:line="276" w:lineRule="auto"/>
        <w:jc w:val="center"/>
        <w:rPr>
          <w:noProof/>
        </w:rPr>
      </w:pPr>
      <w:r w:rsidRPr="005F070D">
        <w:t xml:space="preserve">Figure </w:t>
      </w:r>
      <w:r w:rsidR="008F72D3">
        <w:fldChar w:fldCharType="begin"/>
      </w:r>
      <w:r w:rsidR="008F72D3">
        <w:instrText xml:space="preserve"> SEQ Figure \* ARABIC </w:instrText>
      </w:r>
      <w:r w:rsidR="008F72D3">
        <w:fldChar w:fldCharType="separate"/>
      </w:r>
      <w:r w:rsidR="00DA2B09">
        <w:rPr>
          <w:noProof/>
        </w:rPr>
        <w:t>2</w:t>
      </w:r>
      <w:r w:rsidR="008F72D3">
        <w:rPr>
          <w:noProof/>
        </w:rPr>
        <w:fldChar w:fldCharType="end"/>
      </w:r>
      <w:r w:rsidRPr="005F070D">
        <w:t xml:space="preserve"> : teneur en sucre (E) et acidité (A) des </w:t>
      </w:r>
      <w:r w:rsidRPr="005F070D">
        <w:rPr>
          <w:noProof/>
        </w:rPr>
        <w:t>fruits par modalité</w:t>
      </w:r>
    </w:p>
    <w:p w:rsidR="004A771B" w:rsidRPr="004A771B" w:rsidRDefault="004A771B" w:rsidP="00AE2CF7">
      <w:pPr>
        <w:spacing w:line="276" w:lineRule="auto"/>
        <w:jc w:val="both"/>
        <w:rPr>
          <w:lang w:eastAsia="en-US"/>
        </w:rPr>
      </w:pPr>
      <w:r>
        <w:rPr>
          <w:lang w:eastAsia="en-US"/>
        </w:rPr>
        <w:t>La teneur en sucre est légèrement plus faible dans le SdC 1 que dans les autres SdC mais cette différence n’est pas significative. En ce qui concerne l’acidité, elle est équivalente dans l’ensemble des SdC.</w:t>
      </w:r>
    </w:p>
    <w:p w:rsidR="0040739B" w:rsidRPr="005F070D" w:rsidRDefault="0040739B" w:rsidP="00AE2CF7">
      <w:pPr>
        <w:suppressAutoHyphens w:val="0"/>
        <w:spacing w:after="200" w:line="276" w:lineRule="auto"/>
        <w:rPr>
          <w:rFonts w:eastAsia="Calibri" w:cs="Times New Roman"/>
          <w:i/>
          <w:color w:val="F79646"/>
          <w:sz w:val="24"/>
          <w:lang w:eastAsia="en-US"/>
        </w:rPr>
      </w:pPr>
      <w:r w:rsidRPr="005F070D">
        <w:rPr>
          <w:rFonts w:eastAsia="Calibri" w:cs="Times New Roman"/>
          <w:i/>
          <w:color w:val="F79646"/>
          <w:sz w:val="24"/>
          <w:lang w:eastAsia="en-US"/>
        </w:rPr>
        <w:t>Caffin</w:t>
      </w:r>
    </w:p>
    <w:p w:rsidR="0040739B" w:rsidRPr="007B16C5" w:rsidRDefault="0040739B" w:rsidP="00AE2CF7">
      <w:pPr>
        <w:numPr>
          <w:ilvl w:val="0"/>
          <w:numId w:val="25"/>
        </w:numPr>
        <w:suppressAutoHyphens w:val="0"/>
        <w:spacing w:after="200" w:line="276" w:lineRule="auto"/>
        <w:contextualSpacing/>
        <w:rPr>
          <w:rFonts w:eastAsia="Calibri" w:cs="Times New Roman"/>
          <w:szCs w:val="22"/>
          <w:lang w:eastAsia="en-US"/>
        </w:rPr>
      </w:pPr>
      <w:r w:rsidRPr="007B16C5">
        <w:rPr>
          <w:rFonts w:eastAsia="Calibri" w:cs="Times New Roman"/>
          <w:szCs w:val="22"/>
          <w:lang w:eastAsia="en-US"/>
        </w:rPr>
        <w:t>Proportion de jus</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14</w:t>
      </w:r>
      <w:r w:rsidR="008F72D3">
        <w:rPr>
          <w:noProof/>
        </w:rPr>
        <w:fldChar w:fldCharType="end"/>
      </w:r>
      <w:r w:rsidRPr="005F070D">
        <w:t xml:space="preserve"> : pourcentage de jus</w:t>
      </w:r>
      <w:r w:rsidR="006967EC" w:rsidRPr="005F070D">
        <w:t xml:space="preserve"> par modalité</w:t>
      </w:r>
    </w:p>
    <w:tbl>
      <w:tblPr>
        <w:tblW w:w="0" w:type="auto"/>
        <w:jc w:val="center"/>
        <w:tblBorders>
          <w:top w:val="single" w:sz="8" w:space="0" w:color="8064A2"/>
          <w:bottom w:val="single" w:sz="8" w:space="0" w:color="8064A2"/>
        </w:tblBorders>
        <w:tblLook w:val="04A0" w:firstRow="1" w:lastRow="0" w:firstColumn="1" w:lastColumn="0" w:noHBand="0" w:noVBand="1"/>
      </w:tblPr>
      <w:tblGrid>
        <w:gridCol w:w="1011"/>
        <w:gridCol w:w="711"/>
      </w:tblGrid>
      <w:tr w:rsidR="006967EC" w:rsidRPr="00731DD1" w:rsidTr="002E30DB">
        <w:trPr>
          <w:trHeight w:val="300"/>
          <w:jc w:val="center"/>
        </w:trPr>
        <w:tc>
          <w:tcPr>
            <w:tcW w:w="0" w:type="auto"/>
            <w:tcBorders>
              <w:top w:val="single" w:sz="8" w:space="0" w:color="8064A2"/>
              <w:left w:val="nil"/>
              <w:bottom w:val="single" w:sz="8" w:space="0" w:color="8064A2"/>
              <w:right w:val="nil"/>
            </w:tcBorders>
            <w:shd w:val="clear" w:color="auto" w:fill="auto"/>
            <w:noWrap/>
            <w:hideMark/>
          </w:tcPr>
          <w:p w:rsidR="006967EC" w:rsidRPr="00731DD1" w:rsidRDefault="006967EC"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Modalité</w:t>
            </w:r>
          </w:p>
        </w:tc>
        <w:tc>
          <w:tcPr>
            <w:tcW w:w="0" w:type="auto"/>
            <w:tcBorders>
              <w:top w:val="single" w:sz="8" w:space="0" w:color="8064A2"/>
              <w:left w:val="nil"/>
              <w:bottom w:val="single" w:sz="8" w:space="0" w:color="8064A2"/>
              <w:right w:val="nil"/>
            </w:tcBorders>
            <w:shd w:val="clear" w:color="auto" w:fill="auto"/>
            <w:noWrap/>
            <w:hideMark/>
          </w:tcPr>
          <w:p w:rsidR="006967EC" w:rsidRPr="00731DD1" w:rsidRDefault="006967EC"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 xml:space="preserve">% jus </w:t>
            </w:r>
          </w:p>
        </w:tc>
      </w:tr>
      <w:tr w:rsidR="004A771B" w:rsidRPr="00731DD1" w:rsidTr="007A222C">
        <w:trPr>
          <w:trHeight w:val="300"/>
          <w:jc w:val="center"/>
        </w:trPr>
        <w:tc>
          <w:tcPr>
            <w:tcW w:w="0" w:type="auto"/>
            <w:tcBorders>
              <w:left w:val="nil"/>
              <w:right w:val="nil"/>
            </w:tcBorders>
            <w:shd w:val="clear" w:color="auto" w:fill="DFD8E8"/>
            <w:noWrap/>
            <w:hideMark/>
          </w:tcPr>
          <w:p w:rsidR="004A771B" w:rsidRPr="00731DD1" w:rsidRDefault="004A771B"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LB</w:t>
            </w:r>
          </w:p>
        </w:tc>
        <w:tc>
          <w:tcPr>
            <w:tcW w:w="0" w:type="auto"/>
            <w:tcBorders>
              <w:left w:val="nil"/>
              <w:right w:val="nil"/>
            </w:tcBorders>
            <w:shd w:val="clear" w:color="auto" w:fill="DFD8E8"/>
            <w:noWrap/>
          </w:tcPr>
          <w:p w:rsidR="004A771B" w:rsidRPr="00731DD1" w:rsidRDefault="004A771B" w:rsidP="00AE2CF7">
            <w:pPr>
              <w:spacing w:line="276" w:lineRule="auto"/>
              <w:rPr>
                <w:szCs w:val="22"/>
              </w:rPr>
            </w:pPr>
            <w:r w:rsidRPr="00731DD1">
              <w:rPr>
                <w:szCs w:val="22"/>
              </w:rPr>
              <w:t>47%</w:t>
            </w:r>
          </w:p>
        </w:tc>
      </w:tr>
      <w:tr w:rsidR="004A771B" w:rsidRPr="00731DD1" w:rsidTr="007A222C">
        <w:trPr>
          <w:trHeight w:val="300"/>
          <w:jc w:val="center"/>
        </w:trPr>
        <w:tc>
          <w:tcPr>
            <w:tcW w:w="0" w:type="auto"/>
            <w:shd w:val="clear" w:color="auto" w:fill="auto"/>
            <w:noWrap/>
            <w:hideMark/>
          </w:tcPr>
          <w:p w:rsidR="004A771B" w:rsidRPr="00731DD1" w:rsidRDefault="004A771B"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50%</w:t>
            </w:r>
          </w:p>
        </w:tc>
        <w:tc>
          <w:tcPr>
            <w:tcW w:w="0" w:type="auto"/>
            <w:shd w:val="clear" w:color="auto" w:fill="auto"/>
            <w:noWrap/>
          </w:tcPr>
          <w:p w:rsidR="004A771B" w:rsidRPr="00731DD1" w:rsidRDefault="004A771B" w:rsidP="00AE2CF7">
            <w:pPr>
              <w:spacing w:line="276" w:lineRule="auto"/>
              <w:rPr>
                <w:szCs w:val="22"/>
              </w:rPr>
            </w:pPr>
            <w:r w:rsidRPr="00731DD1">
              <w:rPr>
                <w:szCs w:val="22"/>
              </w:rPr>
              <w:t>43%</w:t>
            </w:r>
          </w:p>
        </w:tc>
      </w:tr>
      <w:tr w:rsidR="004A771B" w:rsidRPr="00731DD1" w:rsidTr="007A222C">
        <w:trPr>
          <w:trHeight w:val="300"/>
          <w:jc w:val="center"/>
        </w:trPr>
        <w:tc>
          <w:tcPr>
            <w:tcW w:w="0" w:type="auto"/>
            <w:tcBorders>
              <w:left w:val="nil"/>
              <w:right w:val="nil"/>
            </w:tcBorders>
            <w:shd w:val="clear" w:color="auto" w:fill="DFD8E8"/>
            <w:noWrap/>
            <w:hideMark/>
          </w:tcPr>
          <w:p w:rsidR="004A771B" w:rsidRPr="00731DD1" w:rsidRDefault="004A771B"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CH</w:t>
            </w:r>
          </w:p>
        </w:tc>
        <w:tc>
          <w:tcPr>
            <w:tcW w:w="0" w:type="auto"/>
            <w:tcBorders>
              <w:left w:val="nil"/>
              <w:right w:val="nil"/>
            </w:tcBorders>
            <w:shd w:val="clear" w:color="auto" w:fill="DFD8E8"/>
            <w:noWrap/>
          </w:tcPr>
          <w:p w:rsidR="004A771B" w:rsidRPr="00731DD1" w:rsidRDefault="004A771B" w:rsidP="00AE2CF7">
            <w:pPr>
              <w:spacing w:line="276" w:lineRule="auto"/>
              <w:rPr>
                <w:szCs w:val="22"/>
              </w:rPr>
            </w:pPr>
            <w:r w:rsidRPr="00731DD1">
              <w:rPr>
                <w:szCs w:val="22"/>
              </w:rPr>
              <w:t>47%</w:t>
            </w:r>
          </w:p>
        </w:tc>
      </w:tr>
    </w:tbl>
    <w:p w:rsidR="0040739B" w:rsidRPr="005F070D" w:rsidRDefault="0040739B" w:rsidP="00AE2CF7">
      <w:pPr>
        <w:suppressAutoHyphens w:val="0"/>
        <w:spacing w:after="200" w:line="276" w:lineRule="auto"/>
        <w:jc w:val="both"/>
        <w:rPr>
          <w:rFonts w:eastAsia="Calibri" w:cs="Times New Roman"/>
          <w:sz w:val="24"/>
          <w:lang w:eastAsia="en-US"/>
        </w:rPr>
      </w:pPr>
    </w:p>
    <w:p w:rsidR="007B16C5" w:rsidRDefault="00E70A25"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 xml:space="preserve">La modalité ayant le pourcentage de jus le plus faible est celle </w:t>
      </w:r>
      <w:r w:rsidR="004A771B">
        <w:rPr>
          <w:rFonts w:eastAsia="Calibri" w:cs="Times New Roman"/>
          <w:szCs w:val="22"/>
          <w:lang w:eastAsia="en-US"/>
        </w:rPr>
        <w:t>en diminution d’intrants avec 43</w:t>
      </w:r>
      <w:r w:rsidR="00275876" w:rsidRPr="007B16C5">
        <w:rPr>
          <w:rFonts w:eastAsia="Calibri" w:cs="Times New Roman"/>
          <w:szCs w:val="22"/>
          <w:lang w:eastAsia="en-US"/>
        </w:rPr>
        <w:t xml:space="preserve">% de jus. </w:t>
      </w:r>
      <w:r w:rsidR="004A771B">
        <w:rPr>
          <w:rFonts w:eastAsia="Calibri" w:cs="Times New Roman"/>
          <w:szCs w:val="22"/>
          <w:lang w:eastAsia="en-US"/>
        </w:rPr>
        <w:t>Ce taux est légèrement plus important dans les deux autres SdC</w:t>
      </w:r>
      <w:r w:rsidR="00275876" w:rsidRPr="007B16C5">
        <w:rPr>
          <w:rFonts w:eastAsia="Calibri" w:cs="Times New Roman"/>
          <w:szCs w:val="22"/>
          <w:lang w:eastAsia="en-US"/>
        </w:rPr>
        <w:t xml:space="preserve">. </w:t>
      </w: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Pr="007B16C5" w:rsidRDefault="00A265EB" w:rsidP="00AE2CF7">
      <w:pPr>
        <w:suppressAutoHyphens w:val="0"/>
        <w:spacing w:after="200" w:line="276" w:lineRule="auto"/>
        <w:jc w:val="both"/>
        <w:rPr>
          <w:rFonts w:eastAsia="Calibri" w:cs="Times New Roman"/>
          <w:szCs w:val="22"/>
          <w:lang w:eastAsia="en-US"/>
        </w:rPr>
      </w:pPr>
    </w:p>
    <w:p w:rsidR="0040739B" w:rsidRPr="007B16C5" w:rsidRDefault="0040739B" w:rsidP="00AE2CF7">
      <w:pPr>
        <w:numPr>
          <w:ilvl w:val="0"/>
          <w:numId w:val="25"/>
        </w:numPr>
        <w:suppressAutoHyphens w:val="0"/>
        <w:spacing w:after="200" w:line="276" w:lineRule="auto"/>
        <w:contextualSpacing/>
        <w:rPr>
          <w:rFonts w:eastAsia="Calibri" w:cs="Times New Roman"/>
          <w:szCs w:val="22"/>
          <w:lang w:eastAsia="en-US"/>
        </w:rPr>
      </w:pPr>
      <w:r w:rsidRPr="007B16C5">
        <w:rPr>
          <w:rFonts w:eastAsia="Calibri" w:cs="Times New Roman"/>
          <w:szCs w:val="22"/>
          <w:lang w:eastAsia="en-US"/>
        </w:rPr>
        <w:t>La teneur en sucre</w:t>
      </w:r>
      <w:r w:rsidR="00E70A25" w:rsidRPr="007B16C5">
        <w:rPr>
          <w:rFonts w:eastAsia="Calibri" w:cs="Times New Roman"/>
          <w:szCs w:val="22"/>
          <w:lang w:eastAsia="en-US"/>
        </w:rPr>
        <w:t xml:space="preserve"> et l’acidité</w:t>
      </w:r>
    </w:p>
    <w:p w:rsidR="00E70A25" w:rsidRPr="005F070D" w:rsidRDefault="00E70A25" w:rsidP="00AE2CF7">
      <w:pPr>
        <w:suppressAutoHyphens w:val="0"/>
        <w:spacing w:after="200" w:line="276" w:lineRule="auto"/>
        <w:ind w:left="720"/>
        <w:contextualSpacing/>
        <w:rPr>
          <w:rFonts w:eastAsia="Calibri" w:cs="Times New Roman"/>
          <w:sz w:val="24"/>
          <w:lang w:eastAsia="en-US"/>
        </w:rPr>
      </w:pPr>
    </w:p>
    <w:p w:rsidR="00030B3C" w:rsidRPr="005F070D" w:rsidRDefault="004A771B" w:rsidP="00AE2CF7">
      <w:pPr>
        <w:keepNext/>
        <w:suppressAutoHyphens w:val="0"/>
        <w:spacing w:after="200" w:line="276" w:lineRule="auto"/>
        <w:contextualSpacing/>
        <w:jc w:val="center"/>
        <w:rPr>
          <w:rFonts w:cs="Times New Roman"/>
          <w:sz w:val="24"/>
        </w:rPr>
      </w:pPr>
      <w:r>
        <w:rPr>
          <w:noProof/>
          <w:lang w:eastAsia="fr-FR"/>
        </w:rPr>
        <w:drawing>
          <wp:inline distT="0" distB="0" distL="0" distR="0" wp14:anchorId="003AC786" wp14:editId="6A050478">
            <wp:extent cx="4320000" cy="2520000"/>
            <wp:effectExtent l="0" t="0" r="23495" b="1397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739B" w:rsidRPr="005F070D" w:rsidRDefault="00030B3C"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3</w:t>
      </w:r>
      <w:r w:rsidR="008F72D3">
        <w:rPr>
          <w:noProof/>
        </w:rPr>
        <w:fldChar w:fldCharType="end"/>
      </w:r>
      <w:r w:rsidRPr="005F070D">
        <w:t xml:space="preserve"> : teneur en sucre (E) et acidité (A) </w:t>
      </w:r>
      <w:r w:rsidR="00F65D28" w:rsidRPr="005F070D">
        <w:t xml:space="preserve">de fruits </w:t>
      </w:r>
      <w:r w:rsidRPr="005F070D">
        <w:t>par modalité</w:t>
      </w:r>
    </w:p>
    <w:p w:rsidR="000F72FD" w:rsidRPr="007B16C5" w:rsidRDefault="00030B3C"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 xml:space="preserve">Les </w:t>
      </w:r>
      <w:r w:rsidR="00275876" w:rsidRPr="007B16C5">
        <w:rPr>
          <w:rFonts w:eastAsia="Calibri" w:cs="Times New Roman"/>
          <w:szCs w:val="22"/>
          <w:lang w:eastAsia="en-US"/>
        </w:rPr>
        <w:t xml:space="preserve">trois </w:t>
      </w:r>
      <w:r w:rsidRPr="007B16C5">
        <w:rPr>
          <w:rFonts w:eastAsia="Calibri" w:cs="Times New Roman"/>
          <w:szCs w:val="22"/>
          <w:lang w:eastAsia="en-US"/>
        </w:rPr>
        <w:t>modalités obtiennent les mêmes teneurs en sucre</w:t>
      </w:r>
      <w:r w:rsidR="00731DD1">
        <w:rPr>
          <w:rFonts w:eastAsia="Calibri" w:cs="Times New Roman"/>
          <w:szCs w:val="22"/>
          <w:lang w:eastAsia="en-US"/>
        </w:rPr>
        <w:t xml:space="preserve"> avec respectivement 10,3 ; 10,9 et 10,8 °Brix</w:t>
      </w:r>
      <w:r w:rsidR="00275876" w:rsidRPr="007B16C5">
        <w:rPr>
          <w:rFonts w:eastAsia="Calibri" w:cs="Times New Roman"/>
          <w:szCs w:val="22"/>
          <w:lang w:eastAsia="en-US"/>
        </w:rPr>
        <w:t>.</w:t>
      </w:r>
      <w:r w:rsidR="00B85508" w:rsidRPr="007B16C5">
        <w:rPr>
          <w:rFonts w:eastAsia="Calibri" w:cs="Times New Roman"/>
          <w:szCs w:val="22"/>
          <w:lang w:eastAsia="en-US"/>
        </w:rPr>
        <w:t xml:space="preserve"> Le </w:t>
      </w:r>
      <w:r w:rsidR="00DD548A" w:rsidRPr="007B16C5">
        <w:rPr>
          <w:rFonts w:eastAsia="Calibri" w:cs="Times New Roman"/>
          <w:szCs w:val="22"/>
          <w:lang w:eastAsia="en-US"/>
        </w:rPr>
        <w:t xml:space="preserve">même </w:t>
      </w:r>
      <w:r w:rsidR="00B85508" w:rsidRPr="007B16C5">
        <w:rPr>
          <w:rFonts w:eastAsia="Calibri" w:cs="Times New Roman"/>
          <w:szCs w:val="22"/>
          <w:lang w:eastAsia="en-US"/>
        </w:rPr>
        <w:t>phénomène est observable au niveau de l’acidité où toutes les modalit</w:t>
      </w:r>
      <w:r w:rsidR="00275876" w:rsidRPr="007B16C5">
        <w:rPr>
          <w:rFonts w:eastAsia="Calibri" w:cs="Times New Roman"/>
          <w:szCs w:val="22"/>
          <w:lang w:eastAsia="en-US"/>
        </w:rPr>
        <w:t xml:space="preserve">és ont une acidité autour de 1 </w:t>
      </w:r>
      <w:r w:rsidR="00B85508" w:rsidRPr="007B16C5">
        <w:rPr>
          <w:rFonts w:eastAsia="Calibri" w:cs="Times New Roman"/>
          <w:szCs w:val="22"/>
          <w:lang w:eastAsia="en-US"/>
        </w:rPr>
        <w:t>g d’acide citrique.</w:t>
      </w:r>
      <w:r w:rsidR="00E559E3" w:rsidRPr="007B16C5">
        <w:rPr>
          <w:rFonts w:eastAsia="Calibri" w:cs="Times New Roman"/>
          <w:szCs w:val="22"/>
          <w:lang w:eastAsia="en-US"/>
        </w:rPr>
        <w:t xml:space="preserve"> </w:t>
      </w:r>
      <w:r w:rsidR="0040739B" w:rsidRPr="007B16C5">
        <w:rPr>
          <w:rFonts w:eastAsia="Calibri" w:cs="Times New Roman"/>
          <w:szCs w:val="22"/>
          <w:lang w:eastAsia="en-US"/>
        </w:rPr>
        <w:t>Les valeurs de l’ensemble des critères sont dans les normes pour l’obtention de l’IGP.</w:t>
      </w:r>
    </w:p>
    <w:p w:rsidR="0040739B" w:rsidRPr="005F070D" w:rsidRDefault="0040739B" w:rsidP="00AE2CF7">
      <w:pPr>
        <w:suppressAutoHyphens w:val="0"/>
        <w:spacing w:after="200" w:line="276" w:lineRule="auto"/>
        <w:rPr>
          <w:rFonts w:eastAsia="Calibri" w:cs="Times New Roman"/>
          <w:i/>
          <w:color w:val="F79646"/>
          <w:sz w:val="24"/>
          <w:lang w:eastAsia="en-US"/>
        </w:rPr>
      </w:pPr>
      <w:r w:rsidRPr="005F070D">
        <w:rPr>
          <w:rFonts w:eastAsia="Calibri" w:cs="Times New Roman"/>
          <w:i/>
          <w:color w:val="F79646"/>
          <w:sz w:val="24"/>
          <w:lang w:eastAsia="en-US"/>
        </w:rPr>
        <w:t>SRA 92</w:t>
      </w:r>
    </w:p>
    <w:p w:rsidR="0040739B" w:rsidRPr="007B16C5" w:rsidRDefault="0040739B" w:rsidP="00AE2CF7">
      <w:pPr>
        <w:numPr>
          <w:ilvl w:val="0"/>
          <w:numId w:val="26"/>
        </w:numPr>
        <w:suppressAutoHyphens w:val="0"/>
        <w:spacing w:after="200" w:line="276" w:lineRule="auto"/>
        <w:contextualSpacing/>
        <w:rPr>
          <w:rFonts w:eastAsia="Calibri" w:cs="Times New Roman"/>
          <w:szCs w:val="22"/>
          <w:lang w:eastAsia="en-US"/>
        </w:rPr>
      </w:pPr>
      <w:r w:rsidRPr="007B16C5">
        <w:rPr>
          <w:rFonts w:eastAsia="Calibri" w:cs="Times New Roman"/>
          <w:szCs w:val="22"/>
          <w:lang w:eastAsia="en-US"/>
        </w:rPr>
        <w:t>Proportion de jus</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15</w:t>
      </w:r>
      <w:r w:rsidR="008F72D3">
        <w:rPr>
          <w:noProof/>
        </w:rPr>
        <w:fldChar w:fldCharType="end"/>
      </w:r>
      <w:r w:rsidRPr="005F070D">
        <w:t xml:space="preserve"> : </w:t>
      </w:r>
      <w:r w:rsidRPr="007B16C5">
        <w:t>pourcentage</w:t>
      </w:r>
      <w:r w:rsidRPr="005F070D">
        <w:t xml:space="preserve"> de jus</w:t>
      </w:r>
      <w:r w:rsidR="00E70A25" w:rsidRPr="005F070D">
        <w:t xml:space="preserve"> par modalité</w:t>
      </w:r>
    </w:p>
    <w:tbl>
      <w:tblPr>
        <w:tblW w:w="0" w:type="auto"/>
        <w:jc w:val="center"/>
        <w:tblBorders>
          <w:top w:val="single" w:sz="8" w:space="0" w:color="8064A2"/>
          <w:bottom w:val="single" w:sz="8" w:space="0" w:color="8064A2"/>
        </w:tblBorders>
        <w:tblLook w:val="04A0" w:firstRow="1" w:lastRow="0" w:firstColumn="1" w:lastColumn="0" w:noHBand="0" w:noVBand="1"/>
      </w:tblPr>
      <w:tblGrid>
        <w:gridCol w:w="1011"/>
        <w:gridCol w:w="845"/>
      </w:tblGrid>
      <w:tr w:rsidR="00E70A25" w:rsidRPr="00731DD1" w:rsidTr="000F72FD">
        <w:trPr>
          <w:trHeight w:val="300"/>
          <w:jc w:val="center"/>
        </w:trPr>
        <w:tc>
          <w:tcPr>
            <w:tcW w:w="0" w:type="auto"/>
            <w:tcBorders>
              <w:top w:val="single" w:sz="8" w:space="0" w:color="8064A2"/>
              <w:left w:val="nil"/>
              <w:bottom w:val="single" w:sz="8" w:space="0" w:color="8064A2"/>
              <w:right w:val="nil"/>
            </w:tcBorders>
            <w:shd w:val="clear" w:color="auto" w:fill="auto"/>
            <w:noWrap/>
            <w:hideMark/>
          </w:tcPr>
          <w:p w:rsidR="00E70A25" w:rsidRPr="00731DD1" w:rsidRDefault="00E70A25"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Modalité</w:t>
            </w:r>
          </w:p>
        </w:tc>
        <w:tc>
          <w:tcPr>
            <w:tcW w:w="845" w:type="dxa"/>
            <w:tcBorders>
              <w:top w:val="single" w:sz="8" w:space="0" w:color="8064A2"/>
              <w:left w:val="nil"/>
              <w:bottom w:val="single" w:sz="8" w:space="0" w:color="8064A2"/>
              <w:right w:val="nil"/>
            </w:tcBorders>
            <w:shd w:val="clear" w:color="auto" w:fill="auto"/>
            <w:noWrap/>
            <w:hideMark/>
          </w:tcPr>
          <w:p w:rsidR="00E70A25" w:rsidRPr="00731DD1" w:rsidRDefault="00E70A25"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 xml:space="preserve">% jus </w:t>
            </w:r>
          </w:p>
        </w:tc>
      </w:tr>
      <w:tr w:rsidR="00731DD1" w:rsidRPr="00731DD1" w:rsidTr="007A222C">
        <w:trPr>
          <w:trHeight w:val="300"/>
          <w:jc w:val="center"/>
        </w:trPr>
        <w:tc>
          <w:tcPr>
            <w:tcW w:w="0" w:type="auto"/>
            <w:tcBorders>
              <w:left w:val="nil"/>
              <w:right w:val="nil"/>
            </w:tcBorders>
            <w:shd w:val="clear" w:color="auto" w:fill="DFD8E8"/>
            <w:noWrap/>
            <w:hideMark/>
          </w:tcPr>
          <w:p w:rsidR="00731DD1" w:rsidRPr="00731DD1" w:rsidRDefault="00731DD1"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LB</w:t>
            </w:r>
          </w:p>
        </w:tc>
        <w:tc>
          <w:tcPr>
            <w:tcW w:w="845" w:type="dxa"/>
            <w:tcBorders>
              <w:left w:val="nil"/>
              <w:right w:val="nil"/>
            </w:tcBorders>
            <w:shd w:val="clear" w:color="auto" w:fill="DFD8E8"/>
            <w:noWrap/>
            <w:hideMark/>
          </w:tcPr>
          <w:p w:rsidR="00731DD1" w:rsidRPr="00731DD1" w:rsidRDefault="00731DD1" w:rsidP="00AE2CF7">
            <w:pPr>
              <w:spacing w:line="276" w:lineRule="auto"/>
              <w:rPr>
                <w:szCs w:val="22"/>
              </w:rPr>
            </w:pPr>
            <w:r w:rsidRPr="00731DD1">
              <w:rPr>
                <w:szCs w:val="22"/>
              </w:rPr>
              <w:t>46%</w:t>
            </w:r>
          </w:p>
        </w:tc>
      </w:tr>
      <w:tr w:rsidR="00731DD1" w:rsidRPr="00731DD1" w:rsidTr="007A222C">
        <w:trPr>
          <w:trHeight w:val="300"/>
          <w:jc w:val="center"/>
        </w:trPr>
        <w:tc>
          <w:tcPr>
            <w:tcW w:w="0" w:type="auto"/>
            <w:shd w:val="clear" w:color="auto" w:fill="auto"/>
            <w:noWrap/>
            <w:hideMark/>
          </w:tcPr>
          <w:p w:rsidR="00731DD1" w:rsidRPr="00731DD1" w:rsidRDefault="00731DD1"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50%</w:t>
            </w:r>
          </w:p>
        </w:tc>
        <w:tc>
          <w:tcPr>
            <w:tcW w:w="845" w:type="dxa"/>
            <w:shd w:val="clear" w:color="auto" w:fill="auto"/>
            <w:noWrap/>
            <w:hideMark/>
          </w:tcPr>
          <w:p w:rsidR="00731DD1" w:rsidRPr="00731DD1" w:rsidRDefault="00731DD1" w:rsidP="00AE2CF7">
            <w:pPr>
              <w:spacing w:line="276" w:lineRule="auto"/>
              <w:rPr>
                <w:szCs w:val="22"/>
              </w:rPr>
            </w:pPr>
            <w:r w:rsidRPr="00731DD1">
              <w:rPr>
                <w:szCs w:val="22"/>
              </w:rPr>
              <w:t>48%</w:t>
            </w:r>
          </w:p>
        </w:tc>
      </w:tr>
      <w:tr w:rsidR="00731DD1" w:rsidRPr="00731DD1" w:rsidTr="007A222C">
        <w:trPr>
          <w:trHeight w:val="300"/>
          <w:jc w:val="center"/>
        </w:trPr>
        <w:tc>
          <w:tcPr>
            <w:tcW w:w="0" w:type="auto"/>
            <w:tcBorders>
              <w:left w:val="nil"/>
              <w:right w:val="nil"/>
            </w:tcBorders>
            <w:shd w:val="clear" w:color="auto" w:fill="DFD8E8"/>
            <w:noWrap/>
            <w:hideMark/>
          </w:tcPr>
          <w:p w:rsidR="00731DD1" w:rsidRPr="00731DD1" w:rsidRDefault="00731DD1" w:rsidP="00AE2CF7">
            <w:pPr>
              <w:suppressAutoHyphens w:val="0"/>
              <w:spacing w:after="0" w:line="276" w:lineRule="auto"/>
              <w:jc w:val="center"/>
              <w:rPr>
                <w:rFonts w:eastAsia="Calibri" w:cs="Times New Roman"/>
                <w:bCs/>
                <w:color w:val="000000"/>
                <w:szCs w:val="22"/>
                <w:lang w:eastAsia="fr-FR"/>
              </w:rPr>
            </w:pPr>
            <w:r w:rsidRPr="00731DD1">
              <w:rPr>
                <w:rFonts w:eastAsia="Calibri" w:cs="Times New Roman"/>
                <w:bCs/>
                <w:color w:val="000000"/>
                <w:szCs w:val="22"/>
                <w:lang w:eastAsia="fr-FR"/>
              </w:rPr>
              <w:t>CH</w:t>
            </w:r>
          </w:p>
        </w:tc>
        <w:tc>
          <w:tcPr>
            <w:tcW w:w="845" w:type="dxa"/>
            <w:tcBorders>
              <w:left w:val="nil"/>
              <w:right w:val="nil"/>
            </w:tcBorders>
            <w:shd w:val="clear" w:color="auto" w:fill="DFD8E8"/>
            <w:noWrap/>
            <w:hideMark/>
          </w:tcPr>
          <w:p w:rsidR="00731DD1" w:rsidRPr="00731DD1" w:rsidRDefault="00731DD1" w:rsidP="00AE2CF7">
            <w:pPr>
              <w:spacing w:line="276" w:lineRule="auto"/>
              <w:rPr>
                <w:szCs w:val="22"/>
              </w:rPr>
            </w:pPr>
            <w:r w:rsidRPr="00731DD1">
              <w:rPr>
                <w:szCs w:val="22"/>
              </w:rPr>
              <w:t>42%</w:t>
            </w:r>
          </w:p>
        </w:tc>
      </w:tr>
    </w:tbl>
    <w:p w:rsidR="0040739B" w:rsidRPr="005F070D" w:rsidRDefault="0040739B" w:rsidP="00AE2CF7">
      <w:pPr>
        <w:suppressAutoHyphens w:val="0"/>
        <w:spacing w:after="200" w:line="276" w:lineRule="auto"/>
        <w:rPr>
          <w:rFonts w:eastAsia="Calibri" w:cs="Times New Roman"/>
          <w:sz w:val="24"/>
          <w:lang w:eastAsia="en-US"/>
        </w:rPr>
      </w:pPr>
    </w:p>
    <w:p w:rsidR="00907260" w:rsidRDefault="0070257A"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En 2015</w:t>
      </w:r>
      <w:r w:rsidR="000F72FD" w:rsidRPr="007B16C5">
        <w:rPr>
          <w:rFonts w:eastAsia="Calibri" w:cs="Times New Roman"/>
          <w:szCs w:val="22"/>
          <w:lang w:eastAsia="en-US"/>
        </w:rPr>
        <w:t>, le pourcentage de jus est le même sur toutes les modalités.</w:t>
      </w: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Default="00A265EB" w:rsidP="00AE2CF7">
      <w:pPr>
        <w:suppressAutoHyphens w:val="0"/>
        <w:spacing w:after="200" w:line="276" w:lineRule="auto"/>
        <w:jc w:val="both"/>
        <w:rPr>
          <w:rFonts w:eastAsia="Calibri" w:cs="Times New Roman"/>
          <w:szCs w:val="22"/>
          <w:lang w:eastAsia="en-US"/>
        </w:rPr>
      </w:pPr>
    </w:p>
    <w:p w:rsidR="00A265EB" w:rsidRPr="007B16C5" w:rsidRDefault="00A265EB" w:rsidP="00AE2CF7">
      <w:pPr>
        <w:suppressAutoHyphens w:val="0"/>
        <w:spacing w:after="200" w:line="276" w:lineRule="auto"/>
        <w:jc w:val="both"/>
        <w:rPr>
          <w:rFonts w:eastAsia="Calibri" w:cs="Times New Roman"/>
          <w:szCs w:val="22"/>
          <w:lang w:eastAsia="en-US"/>
        </w:rPr>
      </w:pPr>
    </w:p>
    <w:p w:rsidR="00D42F1D" w:rsidRDefault="0040739B" w:rsidP="00AE2CF7">
      <w:pPr>
        <w:numPr>
          <w:ilvl w:val="0"/>
          <w:numId w:val="26"/>
        </w:numPr>
        <w:suppressAutoHyphens w:val="0"/>
        <w:spacing w:after="200" w:line="276" w:lineRule="auto"/>
        <w:contextualSpacing/>
        <w:rPr>
          <w:rFonts w:eastAsia="Calibri" w:cs="Times New Roman"/>
          <w:szCs w:val="22"/>
          <w:lang w:eastAsia="en-US"/>
        </w:rPr>
      </w:pPr>
      <w:r w:rsidRPr="007B16C5">
        <w:rPr>
          <w:rFonts w:eastAsia="Calibri" w:cs="Times New Roman"/>
          <w:szCs w:val="22"/>
          <w:lang w:eastAsia="en-US"/>
        </w:rPr>
        <w:t>La teneur en sucre</w:t>
      </w:r>
      <w:r w:rsidR="007D72A2" w:rsidRPr="007B16C5">
        <w:rPr>
          <w:rFonts w:eastAsia="Calibri" w:cs="Times New Roman"/>
          <w:szCs w:val="22"/>
          <w:lang w:eastAsia="en-US"/>
        </w:rPr>
        <w:t xml:space="preserve"> et l’acidité</w:t>
      </w:r>
    </w:p>
    <w:p w:rsidR="007B16C5" w:rsidRPr="007B16C5" w:rsidRDefault="007B16C5" w:rsidP="00AE2CF7">
      <w:pPr>
        <w:suppressAutoHyphens w:val="0"/>
        <w:spacing w:after="200" w:line="276" w:lineRule="auto"/>
        <w:ind w:left="720"/>
        <w:contextualSpacing/>
        <w:rPr>
          <w:rFonts w:eastAsia="Calibri" w:cs="Times New Roman"/>
          <w:szCs w:val="22"/>
          <w:lang w:eastAsia="en-US"/>
        </w:rPr>
      </w:pPr>
    </w:p>
    <w:p w:rsidR="0040739B" w:rsidRPr="005F070D" w:rsidRDefault="00731DD1" w:rsidP="00AE2CF7">
      <w:pPr>
        <w:keepNext/>
        <w:suppressAutoHyphens w:val="0"/>
        <w:spacing w:after="200" w:line="276" w:lineRule="auto"/>
        <w:jc w:val="center"/>
        <w:rPr>
          <w:rFonts w:eastAsia="Calibri" w:cs="Times New Roman"/>
          <w:sz w:val="24"/>
          <w:lang w:eastAsia="en-US"/>
        </w:rPr>
      </w:pPr>
      <w:r>
        <w:rPr>
          <w:noProof/>
          <w:lang w:eastAsia="fr-FR"/>
        </w:rPr>
        <w:drawing>
          <wp:inline distT="0" distB="0" distL="0" distR="0" wp14:anchorId="5D89508D" wp14:editId="77E41B18">
            <wp:extent cx="4320000" cy="2520000"/>
            <wp:effectExtent l="0" t="0" r="23495" b="1397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739B" w:rsidRPr="005F070D" w:rsidRDefault="0040739B"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4</w:t>
      </w:r>
      <w:r w:rsidR="008F72D3">
        <w:rPr>
          <w:noProof/>
        </w:rPr>
        <w:fldChar w:fldCharType="end"/>
      </w:r>
      <w:r w:rsidR="00C461F7" w:rsidRPr="005F070D">
        <w:t xml:space="preserve"> : teneur en sucre (E) et acidité (A) </w:t>
      </w:r>
      <w:r w:rsidR="00F65D28" w:rsidRPr="005F070D">
        <w:t xml:space="preserve">des </w:t>
      </w:r>
      <w:r w:rsidR="00F65D28" w:rsidRPr="007B16C5">
        <w:t>fruits</w:t>
      </w:r>
      <w:r w:rsidR="00F65D28" w:rsidRPr="005F070D">
        <w:t xml:space="preserve"> </w:t>
      </w:r>
      <w:r w:rsidR="00C461F7" w:rsidRPr="005F070D">
        <w:t>par modalité</w:t>
      </w:r>
    </w:p>
    <w:p w:rsidR="00731DD1" w:rsidRDefault="00731DD1" w:rsidP="00AE2CF7">
      <w:pPr>
        <w:suppressAutoHyphens w:val="0"/>
        <w:spacing w:after="200" w:line="276" w:lineRule="auto"/>
        <w:jc w:val="both"/>
        <w:rPr>
          <w:rFonts w:eastAsia="Calibri" w:cs="Times New Roman"/>
          <w:szCs w:val="22"/>
          <w:lang w:eastAsia="en-US"/>
        </w:rPr>
      </w:pPr>
    </w:p>
    <w:p w:rsidR="00731DD1" w:rsidRDefault="00731DD1"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La teneur en sucre et l’acidité est sensiblement la même dans tous les SdC de la parcelle de SRA 92.</w:t>
      </w:r>
    </w:p>
    <w:p w:rsidR="0040739B" w:rsidRPr="007B16C5" w:rsidRDefault="0040739B"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 xml:space="preserve">Pour l’ensemble des parcelles étudiées, les valeurs obtenues restent similaires entre les modalités. </w:t>
      </w:r>
      <w:r w:rsidR="00C461F7" w:rsidRPr="007B16C5">
        <w:rPr>
          <w:rFonts w:eastAsia="Calibri" w:cs="Times New Roman"/>
          <w:szCs w:val="22"/>
          <w:lang w:eastAsia="en-US"/>
        </w:rPr>
        <w:t>La diminution d’intrants ne semble pas impacter les qualités physico-chimiques des fruits.</w:t>
      </w:r>
      <w:r w:rsidR="00731DD1">
        <w:rPr>
          <w:rFonts w:eastAsia="Calibri" w:cs="Times New Roman"/>
          <w:szCs w:val="22"/>
          <w:lang w:eastAsia="en-US"/>
        </w:rPr>
        <w:t xml:space="preserve"> Tous les résultats sont conformes au cahier des charges pour l’obtention de l’IGP clémentine de Corse.</w:t>
      </w:r>
    </w:p>
    <w:p w:rsidR="0040739B" w:rsidRPr="005F070D" w:rsidRDefault="0040739B" w:rsidP="00AE2CF7">
      <w:pPr>
        <w:suppressAutoHyphens w:val="0"/>
        <w:spacing w:after="200" w:line="276" w:lineRule="auto"/>
        <w:rPr>
          <w:rFonts w:eastAsia="Calibri" w:cs="Times New Roman"/>
          <w:b/>
          <w:sz w:val="24"/>
          <w:lang w:eastAsia="en-US"/>
        </w:rPr>
      </w:pPr>
      <w:r w:rsidRPr="005F070D">
        <w:rPr>
          <w:rFonts w:eastAsia="Calibri" w:cs="Times New Roman"/>
          <w:b/>
          <w:sz w:val="24"/>
          <w:lang w:eastAsia="en-US"/>
        </w:rPr>
        <w:t>Les indicateurs économiques</w:t>
      </w:r>
    </w:p>
    <w:p w:rsidR="0040739B" w:rsidRPr="005F070D" w:rsidRDefault="0040739B" w:rsidP="00AE2CF7">
      <w:pPr>
        <w:suppressAutoHyphens w:val="0"/>
        <w:spacing w:after="200" w:line="276" w:lineRule="auto"/>
        <w:jc w:val="both"/>
        <w:rPr>
          <w:rFonts w:eastAsia="Calibri" w:cs="Times New Roman"/>
          <w:sz w:val="24"/>
          <w:u w:val="single"/>
          <w:lang w:eastAsia="en-US"/>
        </w:rPr>
      </w:pPr>
      <w:r w:rsidRPr="005F070D">
        <w:rPr>
          <w:rFonts w:eastAsia="Calibri" w:cs="Times New Roman"/>
          <w:sz w:val="24"/>
          <w:u w:val="single"/>
          <w:lang w:eastAsia="en-US"/>
        </w:rPr>
        <w:t>La récolte</w:t>
      </w:r>
      <w:r w:rsidR="00041FF8" w:rsidRPr="005F070D">
        <w:rPr>
          <w:rFonts w:eastAsia="Calibri" w:cs="Times New Roman"/>
          <w:sz w:val="24"/>
          <w:u w:val="single"/>
          <w:lang w:eastAsia="en-US"/>
        </w:rPr>
        <w:t xml:space="preserve"> et les écarts</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SRA 85</w:t>
      </w:r>
    </w:p>
    <w:p w:rsidR="003F7B7B" w:rsidRPr="007B16C5" w:rsidRDefault="003F7B7B"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La récolte a débuté le 10 décembre dans la modalité chimique, elle s’est étalée jusqu’au 19 décembre.</w:t>
      </w:r>
    </w:p>
    <w:p w:rsidR="00041FF8" w:rsidRPr="005F070D" w:rsidRDefault="00B82B9C" w:rsidP="00AE2CF7">
      <w:pPr>
        <w:keepNext/>
        <w:suppressAutoHyphens w:val="0"/>
        <w:spacing w:after="200" w:line="276" w:lineRule="auto"/>
        <w:jc w:val="center"/>
        <w:rPr>
          <w:rFonts w:cs="Times New Roman"/>
          <w:sz w:val="24"/>
        </w:rPr>
      </w:pPr>
      <w:r>
        <w:rPr>
          <w:noProof/>
          <w:lang w:eastAsia="fr-FR"/>
        </w:rPr>
        <w:lastRenderedPageBreak/>
        <w:drawing>
          <wp:inline distT="0" distB="0" distL="0" distR="0" wp14:anchorId="76AE60D6" wp14:editId="34E89938">
            <wp:extent cx="4572000" cy="2743200"/>
            <wp:effectExtent l="0" t="0" r="19050" b="1905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1FF8" w:rsidRPr="005F070D" w:rsidRDefault="00041FF8" w:rsidP="00AE2CF7">
      <w:pPr>
        <w:pStyle w:val="Lgende"/>
        <w:spacing w:line="276" w:lineRule="auto"/>
        <w:jc w:val="center"/>
        <w:rPr>
          <w:i/>
          <w:color w:val="F79646"/>
        </w:rPr>
      </w:pPr>
      <w:r w:rsidRPr="005F070D">
        <w:t xml:space="preserve">Figure </w:t>
      </w:r>
      <w:r w:rsidR="008F72D3">
        <w:fldChar w:fldCharType="begin"/>
      </w:r>
      <w:r w:rsidR="008F72D3">
        <w:instrText xml:space="preserve"> SEQ Figure \* ARABIC </w:instrText>
      </w:r>
      <w:r w:rsidR="008F72D3">
        <w:fldChar w:fldCharType="separate"/>
      </w:r>
      <w:r w:rsidR="00DA2B09">
        <w:rPr>
          <w:noProof/>
        </w:rPr>
        <w:t>5</w:t>
      </w:r>
      <w:r w:rsidR="008F72D3">
        <w:rPr>
          <w:noProof/>
        </w:rPr>
        <w:fldChar w:fldCharType="end"/>
      </w:r>
      <w:r w:rsidRPr="005F070D">
        <w:t xml:space="preserve"> : rendements et écarts par modalité</w:t>
      </w:r>
    </w:p>
    <w:p w:rsidR="00041FF8" w:rsidRPr="007B16C5" w:rsidRDefault="006E0339"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 xml:space="preserve">Le rendement le plus élevé est obtenu dans la modalité </w:t>
      </w:r>
      <w:r w:rsidR="00461091">
        <w:rPr>
          <w:rFonts w:eastAsia="Calibri" w:cs="Times New Roman"/>
          <w:szCs w:val="22"/>
          <w:lang w:eastAsia="en-US"/>
        </w:rPr>
        <w:t>de référence chimique</w:t>
      </w:r>
      <w:r w:rsidR="00FF73D2" w:rsidRPr="007B16C5">
        <w:rPr>
          <w:rFonts w:eastAsia="Calibri" w:cs="Times New Roman"/>
          <w:szCs w:val="22"/>
          <w:lang w:eastAsia="en-US"/>
        </w:rPr>
        <w:t xml:space="preserve"> avec </w:t>
      </w:r>
      <w:r w:rsidR="00461091">
        <w:rPr>
          <w:rFonts w:eastAsia="Calibri" w:cs="Times New Roman"/>
          <w:szCs w:val="22"/>
          <w:lang w:eastAsia="en-US"/>
        </w:rPr>
        <w:t>48 T/Ha</w:t>
      </w:r>
      <w:r w:rsidRPr="007B16C5">
        <w:rPr>
          <w:rFonts w:eastAsia="Calibri" w:cs="Times New Roman"/>
          <w:szCs w:val="22"/>
          <w:lang w:eastAsia="en-US"/>
        </w:rPr>
        <w:t xml:space="preserve">. </w:t>
      </w:r>
      <w:r w:rsidR="00461091">
        <w:rPr>
          <w:rFonts w:eastAsia="Calibri" w:cs="Times New Roman"/>
          <w:szCs w:val="22"/>
          <w:lang w:eastAsia="en-US"/>
        </w:rPr>
        <w:t>Dans la modalité en réduction d’intrants, le rendement a été plus faible mais reste économiquement intéressant avec 40 T/Ha. De même que pour la modalité sans intrant, les rendements bien que plus faible reste supérieur à la moyenne avec 35T/Ha</w:t>
      </w:r>
      <w:r w:rsidR="00AE7806">
        <w:rPr>
          <w:rFonts w:eastAsia="Calibri" w:cs="Times New Roman"/>
          <w:szCs w:val="22"/>
          <w:lang w:eastAsia="en-US"/>
        </w:rPr>
        <w:t>. Sur cette parcelle, les écarts de triage ont été plus importants dans la référence chimique. Dans tous les SdC, les écarts restent tolérables économiquement.</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Caffin</w:t>
      </w:r>
    </w:p>
    <w:p w:rsidR="003F7B7B" w:rsidRPr="005F070D" w:rsidRDefault="003F7B7B" w:rsidP="00AE2CF7">
      <w:pPr>
        <w:suppressAutoHyphens w:val="0"/>
        <w:spacing w:after="200" w:line="276" w:lineRule="auto"/>
        <w:jc w:val="both"/>
        <w:rPr>
          <w:rFonts w:eastAsia="Calibri" w:cs="Times New Roman"/>
          <w:sz w:val="24"/>
          <w:lang w:eastAsia="en-US"/>
        </w:rPr>
      </w:pPr>
      <w:r w:rsidRPr="005F070D">
        <w:rPr>
          <w:rFonts w:eastAsia="Calibri" w:cs="Times New Roman"/>
          <w:sz w:val="24"/>
          <w:lang w:eastAsia="en-US"/>
        </w:rPr>
        <w:t>La récolte a débuté le 05 novembre dans la modalité chimique, elle s’est étalée jusqu’au 14 novembre.</w:t>
      </w:r>
    </w:p>
    <w:p w:rsidR="0040739B" w:rsidRPr="005F070D" w:rsidRDefault="00B82B9C" w:rsidP="00AE2CF7">
      <w:pPr>
        <w:keepNext/>
        <w:suppressAutoHyphens w:val="0"/>
        <w:spacing w:after="200" w:line="276" w:lineRule="auto"/>
        <w:jc w:val="center"/>
        <w:rPr>
          <w:rFonts w:eastAsia="Calibri" w:cs="Times New Roman"/>
          <w:sz w:val="24"/>
          <w:lang w:eastAsia="en-US"/>
        </w:rPr>
      </w:pPr>
      <w:r>
        <w:rPr>
          <w:noProof/>
          <w:lang w:eastAsia="fr-FR"/>
        </w:rPr>
        <w:drawing>
          <wp:inline distT="0" distB="0" distL="0" distR="0" wp14:anchorId="7144FCB0" wp14:editId="2DA5C2FD">
            <wp:extent cx="4572000" cy="2743200"/>
            <wp:effectExtent l="0" t="0" r="19050" b="1905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739B" w:rsidRDefault="0040739B"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6</w:t>
      </w:r>
      <w:r w:rsidR="008F72D3">
        <w:rPr>
          <w:noProof/>
        </w:rPr>
        <w:fldChar w:fldCharType="end"/>
      </w:r>
      <w:r w:rsidRPr="005F070D">
        <w:t xml:space="preserve"> : rendements </w:t>
      </w:r>
      <w:r w:rsidR="00041FF8" w:rsidRPr="005F070D">
        <w:t>et écarts par modalité</w:t>
      </w:r>
    </w:p>
    <w:p w:rsidR="00B82B9C" w:rsidRDefault="00AE7806" w:rsidP="00AE7806">
      <w:pPr>
        <w:jc w:val="both"/>
        <w:rPr>
          <w:lang w:eastAsia="en-US"/>
        </w:rPr>
      </w:pPr>
      <w:r>
        <w:rPr>
          <w:lang w:eastAsia="en-US"/>
        </w:rPr>
        <w:t xml:space="preserve">On observe le même gradient, en ce qui concerne les rendements, entre les modalités. Les rendements sont ici plus faibles que sur la parcelle de SRA 85. En effet, la variété Caffin est une variété précoce. Les rendements sont supérieurs à la moyenne dans les SdC 1 et 2. Quant au SdC 3, les rendements sont au niveau de la moyenne. Pour les écarts, on remarque qu’ils sont plus importants dans la </w:t>
      </w:r>
      <w:r>
        <w:rPr>
          <w:lang w:eastAsia="en-US"/>
        </w:rPr>
        <w:lastRenderedPageBreak/>
        <w:t>modalité en réduction d’intrants. La pression de</w:t>
      </w:r>
      <w:r w:rsidR="006C6D0F">
        <w:rPr>
          <w:lang w:eastAsia="en-US"/>
        </w:rPr>
        <w:t>s c</w:t>
      </w:r>
      <w:r>
        <w:rPr>
          <w:lang w:eastAsia="en-US"/>
        </w:rPr>
        <w:t xml:space="preserve">ératites (historique sur cette parcelle) a engendré des écarts de triage. </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SRA 92</w:t>
      </w:r>
    </w:p>
    <w:p w:rsidR="003F7B7B" w:rsidRPr="007B16C5" w:rsidRDefault="003F7B7B" w:rsidP="00AE2CF7">
      <w:pPr>
        <w:suppressAutoHyphens w:val="0"/>
        <w:spacing w:after="200" w:line="276" w:lineRule="auto"/>
        <w:jc w:val="both"/>
        <w:rPr>
          <w:rFonts w:eastAsia="Calibri" w:cs="Times New Roman"/>
          <w:szCs w:val="22"/>
          <w:lang w:eastAsia="en-US"/>
        </w:rPr>
      </w:pPr>
      <w:r w:rsidRPr="007B16C5">
        <w:rPr>
          <w:rFonts w:eastAsia="Calibri" w:cs="Times New Roman"/>
          <w:szCs w:val="22"/>
          <w:lang w:eastAsia="en-US"/>
        </w:rPr>
        <w:t>La récolte a débuté le 19 novembre dans la modalité sans intrant.</w:t>
      </w:r>
      <w:r w:rsidR="00FE46C2" w:rsidRPr="007B16C5">
        <w:rPr>
          <w:rFonts w:eastAsia="Calibri" w:cs="Times New Roman"/>
          <w:szCs w:val="22"/>
          <w:lang w:eastAsia="en-US"/>
        </w:rPr>
        <w:t xml:space="preserve"> Elle s’est terminée au 21 décembre (2</w:t>
      </w:r>
      <w:r w:rsidR="00FE46C2" w:rsidRPr="007B16C5">
        <w:rPr>
          <w:rFonts w:eastAsia="Calibri" w:cs="Times New Roman"/>
          <w:szCs w:val="22"/>
          <w:vertAlign w:val="superscript"/>
          <w:lang w:eastAsia="en-US"/>
        </w:rPr>
        <w:t>ème</w:t>
      </w:r>
      <w:r w:rsidR="00FE46C2" w:rsidRPr="007B16C5">
        <w:rPr>
          <w:rFonts w:eastAsia="Calibri" w:cs="Times New Roman"/>
          <w:szCs w:val="22"/>
          <w:lang w:eastAsia="en-US"/>
        </w:rPr>
        <w:t xml:space="preserve"> passage de récolte).</w:t>
      </w:r>
    </w:p>
    <w:p w:rsidR="0040739B" w:rsidRPr="005F070D" w:rsidRDefault="00461091" w:rsidP="00AE2CF7">
      <w:pPr>
        <w:keepNext/>
        <w:suppressAutoHyphens w:val="0"/>
        <w:spacing w:after="200" w:line="276" w:lineRule="auto"/>
        <w:jc w:val="center"/>
        <w:rPr>
          <w:rFonts w:eastAsia="Calibri" w:cs="Times New Roman"/>
          <w:sz w:val="24"/>
          <w:lang w:eastAsia="en-US"/>
        </w:rPr>
      </w:pPr>
      <w:r>
        <w:rPr>
          <w:noProof/>
          <w:lang w:eastAsia="fr-FR"/>
        </w:rPr>
        <w:drawing>
          <wp:inline distT="0" distB="0" distL="0" distR="0" wp14:anchorId="33FD5E74" wp14:editId="71FD261B">
            <wp:extent cx="4572000" cy="2743200"/>
            <wp:effectExtent l="0" t="0" r="19050" b="1905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739B" w:rsidRDefault="0040739B"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7</w:t>
      </w:r>
      <w:r w:rsidR="008F72D3">
        <w:rPr>
          <w:noProof/>
        </w:rPr>
        <w:fldChar w:fldCharType="end"/>
      </w:r>
      <w:r w:rsidR="00041FF8" w:rsidRPr="005F070D">
        <w:t xml:space="preserve"> :</w:t>
      </w:r>
      <w:r w:rsidRPr="005F070D">
        <w:t xml:space="preserve"> rendements</w:t>
      </w:r>
      <w:r w:rsidR="00041FF8" w:rsidRPr="005F070D">
        <w:t xml:space="preserve"> et écarts</w:t>
      </w:r>
      <w:r w:rsidRPr="005F070D">
        <w:t xml:space="preserve"> </w:t>
      </w:r>
      <w:r w:rsidR="00041FF8" w:rsidRPr="005F070D">
        <w:t>par modalité</w:t>
      </w:r>
    </w:p>
    <w:p w:rsidR="00AE7806" w:rsidRPr="00AE7806" w:rsidRDefault="00AE7806" w:rsidP="00122E90">
      <w:pPr>
        <w:jc w:val="both"/>
        <w:rPr>
          <w:lang w:eastAsia="en-US"/>
        </w:rPr>
      </w:pPr>
      <w:r>
        <w:rPr>
          <w:lang w:eastAsia="en-US"/>
        </w:rPr>
        <w:t>Dans cette parcelle, les rendements sont très faibles sur les modalités en réduction d’intrants et sans intrant (autour de 15T/Ha).</w:t>
      </w:r>
      <w:r w:rsidR="00122E90">
        <w:rPr>
          <w:lang w:eastAsia="en-US"/>
        </w:rPr>
        <w:t xml:space="preserve"> Il est difficile de savoir quelles sont les raisons d’un tel écart avec la référence chimique. En effet, en 2015, les rendements étaient plus importants dans la modalité en réduction d’intrants. La modalité sans intrant a toujours eu des rendements très faibles par rapport au deux autres modalités. EN ce qui concerne les écarts, comme pour les deux autres parcelles, ils restent économiquement acceptables.</w:t>
      </w:r>
    </w:p>
    <w:p w:rsidR="0040739B" w:rsidRPr="005F070D" w:rsidRDefault="0040739B" w:rsidP="00AE2CF7">
      <w:pPr>
        <w:suppressAutoHyphens w:val="0"/>
        <w:spacing w:after="200" w:line="276" w:lineRule="auto"/>
        <w:rPr>
          <w:rFonts w:eastAsia="Calibri" w:cs="Times New Roman"/>
          <w:sz w:val="24"/>
          <w:u w:val="single"/>
          <w:lang w:eastAsia="en-US"/>
        </w:rPr>
      </w:pPr>
      <w:r w:rsidRPr="005F070D">
        <w:rPr>
          <w:rFonts w:eastAsia="Calibri" w:cs="Times New Roman"/>
          <w:sz w:val="24"/>
          <w:u w:val="single"/>
          <w:lang w:eastAsia="en-US"/>
        </w:rPr>
        <w:t>Le temps de travail</w:t>
      </w:r>
    </w:p>
    <w:p w:rsidR="0040739B" w:rsidRPr="005F070D" w:rsidRDefault="0040739B" w:rsidP="00AE2CF7">
      <w:pPr>
        <w:suppressAutoHyphens w:val="0"/>
        <w:spacing w:after="200" w:line="276" w:lineRule="auto"/>
        <w:rPr>
          <w:rFonts w:eastAsia="Calibri" w:cs="Times New Roman"/>
          <w:i/>
          <w:color w:val="F79646"/>
          <w:sz w:val="24"/>
          <w:lang w:eastAsia="en-US"/>
        </w:rPr>
      </w:pPr>
      <w:r w:rsidRPr="005F070D">
        <w:rPr>
          <w:rFonts w:eastAsia="Calibri" w:cs="Times New Roman"/>
          <w:i/>
          <w:color w:val="F79646"/>
          <w:sz w:val="24"/>
          <w:lang w:eastAsia="en-US"/>
        </w:rPr>
        <w:t>SRA 85</w:t>
      </w:r>
    </w:p>
    <w:p w:rsidR="005564BF" w:rsidRPr="005F070D" w:rsidRDefault="005564BF" w:rsidP="00AE2CF7">
      <w:pPr>
        <w:pStyle w:val="Lgende"/>
        <w:spacing w:line="276" w:lineRule="auto"/>
      </w:pPr>
      <w:r w:rsidRPr="002E3ABA">
        <w:t>Tableau</w:t>
      </w:r>
      <w:r w:rsidRPr="005F070D">
        <w:t xml:space="preserve"> </w:t>
      </w:r>
      <w:r w:rsidR="008F72D3">
        <w:fldChar w:fldCharType="begin"/>
      </w:r>
      <w:r w:rsidR="008F72D3">
        <w:instrText xml:space="preserve"> SEQ Tableau \* ARABIC </w:instrText>
      </w:r>
      <w:r w:rsidR="008F72D3">
        <w:fldChar w:fldCharType="separate"/>
      </w:r>
      <w:r w:rsidR="00DA2B09">
        <w:rPr>
          <w:noProof/>
        </w:rPr>
        <w:t>16</w:t>
      </w:r>
      <w:r w:rsidR="008F72D3">
        <w:rPr>
          <w:noProof/>
        </w:rPr>
        <w:fldChar w:fldCharType="end"/>
      </w:r>
      <w:r w:rsidRPr="005F070D">
        <w:t xml:space="preserve"> : temps de travaux par modalité sur la parcelle de SRA 85</w:t>
      </w:r>
    </w:p>
    <w:tbl>
      <w:tblPr>
        <w:tblStyle w:val="Listemoyenne1-Accent6"/>
        <w:tblW w:w="0" w:type="auto"/>
        <w:jc w:val="center"/>
        <w:tblLook w:val="04A0" w:firstRow="1" w:lastRow="0" w:firstColumn="1" w:lastColumn="0" w:noHBand="0" w:noVBand="1"/>
      </w:tblPr>
      <w:tblGrid>
        <w:gridCol w:w="1298"/>
        <w:gridCol w:w="3104"/>
        <w:gridCol w:w="40"/>
        <w:gridCol w:w="2611"/>
        <w:gridCol w:w="2011"/>
      </w:tblGrid>
      <w:tr w:rsidR="00DC6095" w:rsidRPr="002E3ABA" w:rsidTr="00DC609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98" w:type="dxa"/>
            <w:noWrap/>
            <w:vAlign w:val="center"/>
          </w:tcPr>
          <w:p w:rsidR="00DC6095" w:rsidRPr="00D44E8B" w:rsidRDefault="00DC6095" w:rsidP="00DC6095">
            <w:pPr>
              <w:jc w:val="center"/>
            </w:pPr>
            <w:r w:rsidRPr="00D44E8B">
              <w:t>Modalité</w:t>
            </w:r>
          </w:p>
        </w:tc>
        <w:tc>
          <w:tcPr>
            <w:tcW w:w="3104"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Gestion des adventices en min/Ha</w:t>
            </w:r>
          </w:p>
        </w:tc>
        <w:tc>
          <w:tcPr>
            <w:tcW w:w="2651" w:type="dxa"/>
            <w:gridSpan w:val="2"/>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Gestion des bio-agresseurs en min/Ha</w:t>
            </w:r>
          </w:p>
        </w:tc>
        <w:tc>
          <w:tcPr>
            <w:tcW w:w="2011"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Total en h/Ha</w:t>
            </w:r>
          </w:p>
        </w:tc>
      </w:tr>
      <w:tr w:rsidR="00DC6095" w:rsidRPr="002E3ABA" w:rsidTr="00DC6095">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298" w:type="dxa"/>
            <w:noWrap/>
          </w:tcPr>
          <w:p w:rsidR="00DC6095" w:rsidRPr="00D44E8B" w:rsidRDefault="00DC6095" w:rsidP="00DC6095">
            <w:pPr>
              <w:jc w:val="center"/>
            </w:pPr>
            <w:r w:rsidRPr="00D44E8B">
              <w:t>LB</w:t>
            </w:r>
          </w:p>
        </w:tc>
        <w:tc>
          <w:tcPr>
            <w:tcW w:w="3144" w:type="dxa"/>
            <w:gridSpan w:val="2"/>
            <w:noWrap/>
          </w:tcPr>
          <w:p w:rsidR="00DC6095" w:rsidRPr="00D44E8B"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D44E8B">
              <w:t>1002,24</w:t>
            </w:r>
          </w:p>
        </w:tc>
        <w:tc>
          <w:tcPr>
            <w:tcW w:w="2611" w:type="dxa"/>
            <w:noWrap/>
          </w:tcPr>
          <w:p w:rsidR="00DC6095" w:rsidRPr="00D44E8B"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D44E8B">
              <w:t>2259,68</w:t>
            </w:r>
          </w:p>
        </w:tc>
        <w:tc>
          <w:tcPr>
            <w:tcW w:w="2011" w:type="dxa"/>
            <w:noWrap/>
          </w:tcPr>
          <w:p w:rsidR="00DC6095" w:rsidRPr="00D44E8B"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D44E8B">
              <w:t>54:21:55</w:t>
            </w:r>
          </w:p>
        </w:tc>
      </w:tr>
      <w:tr w:rsidR="00DC6095" w:rsidRPr="002E3ABA" w:rsidTr="00DC6095">
        <w:trPr>
          <w:trHeight w:val="284"/>
          <w:jc w:val="center"/>
        </w:trPr>
        <w:tc>
          <w:tcPr>
            <w:cnfStyle w:val="001000000000" w:firstRow="0" w:lastRow="0" w:firstColumn="1" w:lastColumn="0" w:oddVBand="0" w:evenVBand="0" w:oddHBand="0" w:evenHBand="0" w:firstRowFirstColumn="0" w:firstRowLastColumn="0" w:lastRowFirstColumn="0" w:lastRowLastColumn="0"/>
            <w:tcW w:w="1298" w:type="dxa"/>
            <w:noWrap/>
          </w:tcPr>
          <w:p w:rsidR="00DC6095" w:rsidRPr="00D44E8B" w:rsidRDefault="00DC6095" w:rsidP="00DC6095">
            <w:pPr>
              <w:jc w:val="center"/>
            </w:pPr>
            <w:r w:rsidRPr="00D44E8B">
              <w:t>50%</w:t>
            </w:r>
          </w:p>
        </w:tc>
        <w:tc>
          <w:tcPr>
            <w:tcW w:w="3144" w:type="dxa"/>
            <w:gridSpan w:val="2"/>
            <w:noWrap/>
          </w:tcPr>
          <w:p w:rsidR="00DC6095" w:rsidRPr="00D44E8B"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D44E8B">
              <w:t>793,44</w:t>
            </w:r>
          </w:p>
        </w:tc>
        <w:tc>
          <w:tcPr>
            <w:tcW w:w="2611" w:type="dxa"/>
            <w:noWrap/>
          </w:tcPr>
          <w:p w:rsidR="00DC6095" w:rsidRPr="00D44E8B"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D44E8B">
              <w:t>1969,68</w:t>
            </w:r>
          </w:p>
        </w:tc>
        <w:tc>
          <w:tcPr>
            <w:tcW w:w="2011" w:type="dxa"/>
            <w:noWrap/>
          </w:tcPr>
          <w:p w:rsidR="00DC6095" w:rsidRPr="00D44E8B"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D44E8B">
              <w:t>46:03:07</w:t>
            </w:r>
          </w:p>
        </w:tc>
      </w:tr>
      <w:tr w:rsidR="00DC6095" w:rsidRPr="002E3ABA" w:rsidTr="00DC609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98" w:type="dxa"/>
            <w:noWrap/>
          </w:tcPr>
          <w:p w:rsidR="00DC6095" w:rsidRPr="00D44E8B" w:rsidRDefault="00DC6095" w:rsidP="00DC6095">
            <w:pPr>
              <w:jc w:val="center"/>
            </w:pPr>
            <w:r w:rsidRPr="00D44E8B">
              <w:t>CH</w:t>
            </w:r>
          </w:p>
        </w:tc>
        <w:tc>
          <w:tcPr>
            <w:tcW w:w="3144" w:type="dxa"/>
            <w:gridSpan w:val="2"/>
            <w:noWrap/>
          </w:tcPr>
          <w:p w:rsidR="00DC6095" w:rsidRPr="00D44E8B"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D44E8B">
              <w:t>930</w:t>
            </w:r>
          </w:p>
        </w:tc>
        <w:tc>
          <w:tcPr>
            <w:tcW w:w="2611" w:type="dxa"/>
            <w:noWrap/>
          </w:tcPr>
          <w:p w:rsidR="00DC6095" w:rsidRPr="00D44E8B"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D44E8B">
              <w:t>930</w:t>
            </w:r>
          </w:p>
        </w:tc>
        <w:tc>
          <w:tcPr>
            <w:tcW w:w="2011" w:type="dxa"/>
            <w:noWrap/>
          </w:tcPr>
          <w:p w:rsidR="00DC6095"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D44E8B">
              <w:t>31:00:00</w:t>
            </w:r>
          </w:p>
        </w:tc>
      </w:tr>
    </w:tbl>
    <w:p w:rsidR="008904F6" w:rsidRPr="002E3ABA" w:rsidRDefault="008904F6" w:rsidP="00AE2CF7">
      <w:pPr>
        <w:suppressAutoHyphens w:val="0"/>
        <w:spacing w:after="200" w:line="276" w:lineRule="auto"/>
        <w:rPr>
          <w:rFonts w:eastAsia="Calibri" w:cs="Times New Roman"/>
          <w:i/>
          <w:color w:val="F79646"/>
          <w:szCs w:val="22"/>
          <w:lang w:eastAsia="en-US"/>
        </w:rPr>
      </w:pPr>
    </w:p>
    <w:p w:rsidR="00670ACC" w:rsidRPr="005F070D" w:rsidRDefault="00DA4043" w:rsidP="00AE2CF7">
      <w:pPr>
        <w:suppressAutoHyphens w:val="0"/>
        <w:spacing w:after="200" w:line="276" w:lineRule="auto"/>
        <w:jc w:val="both"/>
        <w:rPr>
          <w:rFonts w:eastAsia="Calibri" w:cs="Times New Roman"/>
          <w:sz w:val="24"/>
          <w:lang w:eastAsia="en-US"/>
        </w:rPr>
      </w:pPr>
      <w:r w:rsidRPr="002E3ABA">
        <w:rPr>
          <w:rFonts w:eastAsia="Calibri" w:cs="Times New Roman"/>
          <w:szCs w:val="22"/>
          <w:lang w:eastAsia="en-US"/>
        </w:rPr>
        <w:t xml:space="preserve">L’utilisation de produits alternatifs tels que le piégeage massif demande plus de temps qu’un traitement insecticide, notamment au niveau du suivi des pièges. </w:t>
      </w:r>
      <w:r w:rsidR="00670ACC" w:rsidRPr="002E3ABA">
        <w:rPr>
          <w:rFonts w:eastAsia="Calibri" w:cs="Times New Roman"/>
          <w:szCs w:val="22"/>
          <w:lang w:eastAsia="en-US"/>
        </w:rPr>
        <w:t>Ceci explique que le temps de travail soit multiplié par deux entre la modalité chimique et les deux autres modalités. Au niveau de la gestion de l’enherbement, la réduction du nombre d’herbicide</w:t>
      </w:r>
      <w:r w:rsidR="002B1DE0" w:rsidRPr="002E3ABA">
        <w:rPr>
          <w:rFonts w:eastAsia="Calibri" w:cs="Times New Roman"/>
          <w:szCs w:val="22"/>
          <w:lang w:eastAsia="en-US"/>
        </w:rPr>
        <w:t>s</w:t>
      </w:r>
      <w:r w:rsidR="00670ACC" w:rsidRPr="002E3ABA">
        <w:rPr>
          <w:rFonts w:eastAsia="Calibri" w:cs="Times New Roman"/>
          <w:szCs w:val="22"/>
          <w:lang w:eastAsia="en-US"/>
        </w:rPr>
        <w:t xml:space="preserve"> et de la surface traitée permet</w:t>
      </w:r>
      <w:r w:rsidR="002B1DE0" w:rsidRPr="002E3ABA">
        <w:rPr>
          <w:rFonts w:eastAsia="Calibri" w:cs="Times New Roman"/>
          <w:szCs w:val="22"/>
          <w:lang w:eastAsia="en-US"/>
        </w:rPr>
        <w:t>tent</w:t>
      </w:r>
      <w:r w:rsidR="00670ACC" w:rsidRPr="002E3ABA">
        <w:rPr>
          <w:rFonts w:eastAsia="Calibri" w:cs="Times New Roman"/>
          <w:szCs w:val="22"/>
          <w:lang w:eastAsia="en-US"/>
        </w:rPr>
        <w:t xml:space="preserve"> un gain de temps dans la modalité en réduction d’intrants. Les interventions manuelles (débroussaillage) dans la modalité sans intrant participent à l’augmentation du temps de travail</w:t>
      </w:r>
      <w:r w:rsidR="00DC6095">
        <w:rPr>
          <w:rFonts w:eastAsia="Calibri" w:cs="Times New Roman"/>
          <w:szCs w:val="22"/>
          <w:lang w:eastAsia="en-US"/>
        </w:rPr>
        <w:t xml:space="preserve"> bien que les passages aient été </w:t>
      </w:r>
      <w:r w:rsidR="00DC6095">
        <w:rPr>
          <w:rFonts w:eastAsia="Calibri" w:cs="Times New Roman"/>
          <w:szCs w:val="22"/>
          <w:lang w:eastAsia="en-US"/>
        </w:rPr>
        <w:lastRenderedPageBreak/>
        <w:t>limités</w:t>
      </w:r>
      <w:r w:rsidR="00670ACC" w:rsidRPr="002E3ABA">
        <w:rPr>
          <w:rFonts w:eastAsia="Calibri" w:cs="Times New Roman"/>
          <w:szCs w:val="22"/>
          <w:lang w:eastAsia="en-US"/>
        </w:rPr>
        <w:t xml:space="preserve">. Lorsque l’on compare les temps par hectare, on observe un gradient de la modalité sans intrant vers la modalité chimique. </w:t>
      </w:r>
    </w:p>
    <w:p w:rsidR="00714786" w:rsidRPr="005F070D" w:rsidRDefault="0040739B" w:rsidP="00AE2CF7">
      <w:pPr>
        <w:suppressAutoHyphens w:val="0"/>
        <w:spacing w:after="200" w:line="276" w:lineRule="auto"/>
        <w:rPr>
          <w:rFonts w:eastAsia="Calibri" w:cs="Times New Roman"/>
          <w:i/>
          <w:color w:val="F79646"/>
          <w:sz w:val="24"/>
          <w:lang w:eastAsia="en-US"/>
        </w:rPr>
      </w:pPr>
      <w:r w:rsidRPr="005F070D">
        <w:rPr>
          <w:rFonts w:eastAsia="Calibri" w:cs="Times New Roman"/>
          <w:i/>
          <w:color w:val="F79646"/>
          <w:sz w:val="24"/>
          <w:lang w:eastAsia="en-US"/>
        </w:rPr>
        <w:t>Caffin</w:t>
      </w:r>
    </w:p>
    <w:p w:rsidR="005564BF" w:rsidRPr="005F070D" w:rsidRDefault="005564BF" w:rsidP="00AE2CF7">
      <w:pPr>
        <w:pStyle w:val="Lgende"/>
        <w:spacing w:line="276" w:lineRule="auto"/>
      </w:pPr>
      <w:r w:rsidRPr="005F070D">
        <w:t xml:space="preserve">Tableau </w:t>
      </w:r>
      <w:r w:rsidR="008F72D3">
        <w:fldChar w:fldCharType="begin"/>
      </w:r>
      <w:r w:rsidR="008F72D3">
        <w:instrText xml:space="preserve"> SEQ T</w:instrText>
      </w:r>
      <w:r w:rsidR="008F72D3">
        <w:instrText xml:space="preserve">ableau \* ARABIC </w:instrText>
      </w:r>
      <w:r w:rsidR="008F72D3">
        <w:fldChar w:fldCharType="separate"/>
      </w:r>
      <w:r w:rsidR="00DA2B09">
        <w:rPr>
          <w:noProof/>
        </w:rPr>
        <w:t>17</w:t>
      </w:r>
      <w:r w:rsidR="008F72D3">
        <w:rPr>
          <w:noProof/>
        </w:rPr>
        <w:fldChar w:fldCharType="end"/>
      </w:r>
      <w:r w:rsidRPr="005F070D">
        <w:t xml:space="preserve"> : temps de </w:t>
      </w:r>
      <w:r w:rsidRPr="002E3ABA">
        <w:t>travaux</w:t>
      </w:r>
      <w:r w:rsidRPr="005F070D">
        <w:t xml:space="preserve"> par modalité sur la parcelle de Caffin</w:t>
      </w:r>
    </w:p>
    <w:tbl>
      <w:tblPr>
        <w:tblStyle w:val="Listemoyenne1-Accent6"/>
        <w:tblW w:w="0" w:type="auto"/>
        <w:jc w:val="center"/>
        <w:tblLook w:val="04A0" w:firstRow="1" w:lastRow="0" w:firstColumn="1" w:lastColumn="0" w:noHBand="0" w:noVBand="1"/>
      </w:tblPr>
      <w:tblGrid>
        <w:gridCol w:w="1364"/>
        <w:gridCol w:w="2861"/>
        <w:gridCol w:w="2994"/>
        <w:gridCol w:w="1363"/>
      </w:tblGrid>
      <w:tr w:rsidR="00DC6095" w:rsidRPr="002E3ABA" w:rsidTr="00DC6095">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rsidR="00DC6095" w:rsidRPr="006726B1" w:rsidRDefault="00DC6095" w:rsidP="00DC6095">
            <w:pPr>
              <w:jc w:val="center"/>
            </w:pPr>
            <w:r w:rsidRPr="006726B1">
              <w:t>Modalité</w:t>
            </w:r>
          </w:p>
        </w:tc>
        <w:tc>
          <w:tcPr>
            <w:tcW w:w="2861"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Gestion des adventices en min/Ha</w:t>
            </w:r>
          </w:p>
        </w:tc>
        <w:tc>
          <w:tcPr>
            <w:tcW w:w="2994"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Gestion des bio-agresseurs en min/Ha</w:t>
            </w:r>
          </w:p>
        </w:tc>
        <w:tc>
          <w:tcPr>
            <w:tcW w:w="1363"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Total en h/Ha</w:t>
            </w:r>
          </w:p>
        </w:tc>
      </w:tr>
      <w:tr w:rsidR="00DC6095" w:rsidRPr="002E3ABA" w:rsidTr="00DC609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rsidR="00DC6095" w:rsidRPr="006726B1" w:rsidRDefault="00DC6095" w:rsidP="00DC6095">
            <w:pPr>
              <w:jc w:val="center"/>
            </w:pPr>
            <w:r w:rsidRPr="006726B1">
              <w:t>LB</w:t>
            </w:r>
          </w:p>
        </w:tc>
        <w:tc>
          <w:tcPr>
            <w:tcW w:w="2861" w:type="dxa"/>
            <w:noWrap/>
            <w:vAlign w:val="center"/>
          </w:tcPr>
          <w:p w:rsidR="00DC6095" w:rsidRPr="006726B1"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6726B1">
              <w:t>1039,6</w:t>
            </w:r>
          </w:p>
        </w:tc>
        <w:tc>
          <w:tcPr>
            <w:tcW w:w="2994" w:type="dxa"/>
            <w:noWrap/>
            <w:vAlign w:val="center"/>
          </w:tcPr>
          <w:p w:rsidR="00DC6095" w:rsidRPr="006726B1"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6726B1">
              <w:t>2124,4</w:t>
            </w:r>
          </w:p>
        </w:tc>
        <w:tc>
          <w:tcPr>
            <w:tcW w:w="1363" w:type="dxa"/>
            <w:noWrap/>
            <w:vAlign w:val="center"/>
          </w:tcPr>
          <w:p w:rsidR="00DC6095" w:rsidRPr="006726B1"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6726B1">
              <w:t>52:44:00</w:t>
            </w:r>
          </w:p>
        </w:tc>
      </w:tr>
      <w:tr w:rsidR="00DC6095" w:rsidRPr="002E3ABA" w:rsidTr="00DC6095">
        <w:trPr>
          <w:trHeight w:val="302"/>
          <w:jc w:val="center"/>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rsidR="00DC6095" w:rsidRPr="006726B1" w:rsidRDefault="00DC6095" w:rsidP="00DC6095">
            <w:pPr>
              <w:jc w:val="center"/>
            </w:pPr>
            <w:r w:rsidRPr="006726B1">
              <w:t>50%</w:t>
            </w:r>
          </w:p>
        </w:tc>
        <w:tc>
          <w:tcPr>
            <w:tcW w:w="2861" w:type="dxa"/>
            <w:noWrap/>
            <w:vAlign w:val="center"/>
          </w:tcPr>
          <w:p w:rsidR="00DC6095" w:rsidRPr="006726B1"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6726B1">
              <w:t>849,76</w:t>
            </w:r>
          </w:p>
        </w:tc>
        <w:tc>
          <w:tcPr>
            <w:tcW w:w="2994" w:type="dxa"/>
            <w:noWrap/>
            <w:vAlign w:val="center"/>
          </w:tcPr>
          <w:p w:rsidR="00DC6095" w:rsidRPr="006726B1"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6726B1">
              <w:t>2034</w:t>
            </w:r>
          </w:p>
        </w:tc>
        <w:tc>
          <w:tcPr>
            <w:tcW w:w="1363" w:type="dxa"/>
            <w:noWrap/>
            <w:vAlign w:val="center"/>
          </w:tcPr>
          <w:p w:rsidR="00DC6095" w:rsidRPr="006726B1"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6726B1">
              <w:t>48:03:46</w:t>
            </w:r>
          </w:p>
        </w:tc>
      </w:tr>
      <w:tr w:rsidR="00DC6095" w:rsidRPr="002E3ABA" w:rsidTr="00DC6095">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364" w:type="dxa"/>
            <w:noWrap/>
            <w:vAlign w:val="center"/>
          </w:tcPr>
          <w:p w:rsidR="00DC6095" w:rsidRPr="006726B1" w:rsidRDefault="00DC6095" w:rsidP="00DC6095">
            <w:pPr>
              <w:jc w:val="center"/>
            </w:pPr>
            <w:r w:rsidRPr="006726B1">
              <w:t>CH</w:t>
            </w:r>
          </w:p>
        </w:tc>
        <w:tc>
          <w:tcPr>
            <w:tcW w:w="2861" w:type="dxa"/>
            <w:noWrap/>
            <w:vAlign w:val="center"/>
          </w:tcPr>
          <w:p w:rsidR="00DC6095" w:rsidRPr="006726B1"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6726B1">
              <w:t>910,4</w:t>
            </w:r>
          </w:p>
        </w:tc>
        <w:tc>
          <w:tcPr>
            <w:tcW w:w="2994" w:type="dxa"/>
            <w:noWrap/>
            <w:vAlign w:val="center"/>
          </w:tcPr>
          <w:p w:rsidR="00DC6095" w:rsidRPr="006726B1"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6726B1">
              <w:t>1774,4</w:t>
            </w:r>
          </w:p>
        </w:tc>
        <w:tc>
          <w:tcPr>
            <w:tcW w:w="1363" w:type="dxa"/>
            <w:noWrap/>
            <w:vAlign w:val="center"/>
          </w:tcPr>
          <w:p w:rsidR="00DC6095"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6726B1">
              <w:t>44:44:48</w:t>
            </w:r>
          </w:p>
        </w:tc>
      </w:tr>
    </w:tbl>
    <w:p w:rsidR="00DA4043" w:rsidRPr="005F070D" w:rsidRDefault="00DA4043" w:rsidP="00AE2CF7">
      <w:pPr>
        <w:suppressAutoHyphens w:val="0"/>
        <w:spacing w:after="200" w:line="276" w:lineRule="auto"/>
        <w:rPr>
          <w:rFonts w:eastAsia="Calibri" w:cs="Times New Roman"/>
          <w:i/>
          <w:color w:val="F79646"/>
          <w:sz w:val="24"/>
          <w:lang w:eastAsia="en-US"/>
        </w:rPr>
      </w:pPr>
    </w:p>
    <w:p w:rsidR="002E3ABA" w:rsidRPr="002E3ABA" w:rsidRDefault="005564BF" w:rsidP="00AE2CF7">
      <w:pPr>
        <w:suppressAutoHyphens w:val="0"/>
        <w:spacing w:after="200" w:line="276" w:lineRule="auto"/>
        <w:jc w:val="both"/>
        <w:rPr>
          <w:rFonts w:eastAsia="Calibri" w:cs="Times New Roman"/>
          <w:szCs w:val="22"/>
          <w:lang w:eastAsia="en-US"/>
        </w:rPr>
      </w:pPr>
      <w:r w:rsidRPr="002E3ABA">
        <w:rPr>
          <w:rFonts w:eastAsia="Calibri" w:cs="Times New Roman"/>
          <w:szCs w:val="22"/>
          <w:lang w:eastAsia="en-US"/>
        </w:rPr>
        <w:t xml:space="preserve">Les mêmes constats peuvent être </w:t>
      </w:r>
      <w:r w:rsidR="005634FC" w:rsidRPr="002E3ABA">
        <w:rPr>
          <w:rFonts w:eastAsia="Calibri" w:cs="Times New Roman"/>
          <w:szCs w:val="22"/>
          <w:lang w:eastAsia="en-US"/>
        </w:rPr>
        <w:t>faits</w:t>
      </w:r>
      <w:r w:rsidRPr="002E3ABA">
        <w:rPr>
          <w:rFonts w:eastAsia="Calibri" w:cs="Times New Roman"/>
          <w:szCs w:val="22"/>
          <w:lang w:eastAsia="en-US"/>
        </w:rPr>
        <w:t xml:space="preserve"> sur cette parcelle. En revanche, l’écart entre le SdC 1 et 2 est moins important car le piégeage massif a été posé dans tous les SdC de cette parcelle. Avec la diminution des herbicides, les temps de travaux en heure par hectare sont  plus faibles dans le SdC 2 que dans le SdC 1.</w:t>
      </w:r>
    </w:p>
    <w:p w:rsidR="0040739B" w:rsidRPr="005F070D" w:rsidRDefault="0040739B" w:rsidP="00AE2CF7">
      <w:pPr>
        <w:suppressAutoHyphens w:val="0"/>
        <w:spacing w:after="200" w:line="276" w:lineRule="auto"/>
        <w:rPr>
          <w:rFonts w:eastAsia="Calibri" w:cs="Times New Roman"/>
          <w:i/>
          <w:color w:val="F79646"/>
          <w:sz w:val="24"/>
          <w:lang w:eastAsia="en-US"/>
        </w:rPr>
      </w:pPr>
      <w:r w:rsidRPr="005F070D">
        <w:rPr>
          <w:rFonts w:eastAsia="Calibri" w:cs="Times New Roman"/>
          <w:i/>
          <w:color w:val="F79646"/>
          <w:sz w:val="24"/>
          <w:lang w:eastAsia="en-US"/>
        </w:rPr>
        <w:t>SRA 92</w:t>
      </w:r>
    </w:p>
    <w:p w:rsidR="00350821" w:rsidRPr="005F070D" w:rsidRDefault="00350821" w:rsidP="00AE2CF7">
      <w:pPr>
        <w:pStyle w:val="Lgende"/>
        <w:spacing w:line="276" w:lineRule="auto"/>
      </w:pPr>
      <w:r w:rsidRPr="005F070D">
        <w:t xml:space="preserve">Tableau </w:t>
      </w:r>
      <w:r w:rsidR="008F72D3">
        <w:fldChar w:fldCharType="begin"/>
      </w:r>
      <w:r w:rsidR="008F72D3">
        <w:instrText xml:space="preserve"> SEQ Tableau \* ARABIC </w:instrText>
      </w:r>
      <w:r w:rsidR="008F72D3">
        <w:fldChar w:fldCharType="separate"/>
      </w:r>
      <w:r w:rsidR="00DA2B09">
        <w:rPr>
          <w:noProof/>
        </w:rPr>
        <w:t>18</w:t>
      </w:r>
      <w:r w:rsidR="008F72D3">
        <w:rPr>
          <w:noProof/>
        </w:rPr>
        <w:fldChar w:fldCharType="end"/>
      </w:r>
      <w:r w:rsidRPr="005F070D">
        <w:t xml:space="preserve"> : temps de travaux par </w:t>
      </w:r>
      <w:r w:rsidRPr="002E3ABA">
        <w:t>modalité</w:t>
      </w:r>
      <w:r w:rsidRPr="005F070D">
        <w:t xml:space="preserve"> sur la parcelle de SRA 92</w:t>
      </w:r>
    </w:p>
    <w:tbl>
      <w:tblPr>
        <w:tblStyle w:val="Listemoyenne1-Accent6"/>
        <w:tblW w:w="9003" w:type="dxa"/>
        <w:jc w:val="center"/>
        <w:tblLook w:val="04A0" w:firstRow="1" w:lastRow="0" w:firstColumn="1" w:lastColumn="0" w:noHBand="0" w:noVBand="1"/>
      </w:tblPr>
      <w:tblGrid>
        <w:gridCol w:w="1324"/>
        <w:gridCol w:w="3018"/>
        <w:gridCol w:w="3228"/>
        <w:gridCol w:w="1433"/>
      </w:tblGrid>
      <w:tr w:rsidR="00DC6095" w:rsidRPr="002E3ABA" w:rsidTr="00DC6095">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324" w:type="dxa"/>
            <w:noWrap/>
            <w:vAlign w:val="center"/>
          </w:tcPr>
          <w:p w:rsidR="00DC6095" w:rsidRPr="00ED5A89" w:rsidRDefault="00DC6095" w:rsidP="00DC6095">
            <w:pPr>
              <w:jc w:val="center"/>
            </w:pPr>
            <w:r w:rsidRPr="00ED5A89">
              <w:t>Modalité</w:t>
            </w:r>
          </w:p>
        </w:tc>
        <w:tc>
          <w:tcPr>
            <w:tcW w:w="3018"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Gestion des adventices en min/Ha</w:t>
            </w:r>
          </w:p>
        </w:tc>
        <w:tc>
          <w:tcPr>
            <w:tcW w:w="3228"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Gestion des bio-agresseurs en min/Ha</w:t>
            </w:r>
          </w:p>
        </w:tc>
        <w:tc>
          <w:tcPr>
            <w:tcW w:w="1433" w:type="dxa"/>
            <w:noWrap/>
            <w:vAlign w:val="center"/>
          </w:tcPr>
          <w:p w:rsidR="00DC6095" w:rsidRPr="00DC6095" w:rsidRDefault="00DC6095" w:rsidP="00DC6095">
            <w:pPr>
              <w:jc w:val="center"/>
              <w:cnfStyle w:val="100000000000" w:firstRow="1" w:lastRow="0" w:firstColumn="0" w:lastColumn="0" w:oddVBand="0" w:evenVBand="0" w:oddHBand="0" w:evenHBand="0" w:firstRowFirstColumn="0" w:firstRowLastColumn="0" w:lastRowFirstColumn="0" w:lastRowLastColumn="0"/>
              <w:rPr>
                <w:b/>
              </w:rPr>
            </w:pPr>
            <w:r w:rsidRPr="00DC6095">
              <w:rPr>
                <w:b/>
              </w:rPr>
              <w:t>Total en h/Ha</w:t>
            </w:r>
          </w:p>
        </w:tc>
      </w:tr>
      <w:tr w:rsidR="00DC6095" w:rsidRPr="002E3ABA" w:rsidTr="00DC609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324" w:type="dxa"/>
            <w:noWrap/>
            <w:vAlign w:val="center"/>
          </w:tcPr>
          <w:p w:rsidR="00DC6095" w:rsidRPr="00ED5A89" w:rsidRDefault="00DC6095" w:rsidP="00DC6095">
            <w:pPr>
              <w:jc w:val="center"/>
            </w:pPr>
            <w:r w:rsidRPr="00ED5A89">
              <w:t>LB</w:t>
            </w:r>
          </w:p>
        </w:tc>
        <w:tc>
          <w:tcPr>
            <w:tcW w:w="3018" w:type="dxa"/>
            <w:noWrap/>
            <w:vAlign w:val="center"/>
          </w:tcPr>
          <w:p w:rsidR="00DC6095" w:rsidRPr="00ED5A89"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ED5A89">
              <w:t>990</w:t>
            </w:r>
          </w:p>
        </w:tc>
        <w:tc>
          <w:tcPr>
            <w:tcW w:w="3228" w:type="dxa"/>
            <w:noWrap/>
            <w:vAlign w:val="center"/>
          </w:tcPr>
          <w:p w:rsidR="00DC6095" w:rsidRPr="00ED5A89"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ED5A89">
              <w:t>2020</w:t>
            </w:r>
          </w:p>
        </w:tc>
        <w:tc>
          <w:tcPr>
            <w:tcW w:w="1433" w:type="dxa"/>
            <w:noWrap/>
            <w:vAlign w:val="center"/>
          </w:tcPr>
          <w:p w:rsidR="00DC6095" w:rsidRPr="00ED5A89"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ED5A89">
              <w:t>50:10:00</w:t>
            </w:r>
          </w:p>
        </w:tc>
      </w:tr>
      <w:tr w:rsidR="00DC6095" w:rsidRPr="002E3ABA" w:rsidTr="00DC6095">
        <w:trPr>
          <w:trHeight w:val="318"/>
          <w:jc w:val="center"/>
        </w:trPr>
        <w:tc>
          <w:tcPr>
            <w:cnfStyle w:val="001000000000" w:firstRow="0" w:lastRow="0" w:firstColumn="1" w:lastColumn="0" w:oddVBand="0" w:evenVBand="0" w:oddHBand="0" w:evenHBand="0" w:firstRowFirstColumn="0" w:firstRowLastColumn="0" w:lastRowFirstColumn="0" w:lastRowLastColumn="0"/>
            <w:tcW w:w="1324" w:type="dxa"/>
            <w:noWrap/>
            <w:vAlign w:val="center"/>
          </w:tcPr>
          <w:p w:rsidR="00DC6095" w:rsidRPr="00ED5A89" w:rsidRDefault="00DC6095" w:rsidP="00DC6095">
            <w:pPr>
              <w:jc w:val="center"/>
            </w:pPr>
            <w:r w:rsidRPr="00ED5A89">
              <w:t>50%</w:t>
            </w:r>
          </w:p>
        </w:tc>
        <w:tc>
          <w:tcPr>
            <w:tcW w:w="3018" w:type="dxa"/>
            <w:noWrap/>
            <w:vAlign w:val="center"/>
          </w:tcPr>
          <w:p w:rsidR="00DC6095" w:rsidRPr="00ED5A89"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ED5A89">
              <w:t>822</w:t>
            </w:r>
          </w:p>
        </w:tc>
        <w:tc>
          <w:tcPr>
            <w:tcW w:w="3228" w:type="dxa"/>
            <w:noWrap/>
            <w:vAlign w:val="center"/>
          </w:tcPr>
          <w:p w:rsidR="00DC6095" w:rsidRPr="00ED5A89"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ED5A89">
              <w:t>1860</w:t>
            </w:r>
          </w:p>
        </w:tc>
        <w:tc>
          <w:tcPr>
            <w:tcW w:w="1433" w:type="dxa"/>
            <w:noWrap/>
            <w:vAlign w:val="center"/>
          </w:tcPr>
          <w:p w:rsidR="00DC6095" w:rsidRPr="00ED5A89" w:rsidRDefault="00DC6095" w:rsidP="00DC6095">
            <w:pPr>
              <w:jc w:val="center"/>
              <w:cnfStyle w:val="000000000000" w:firstRow="0" w:lastRow="0" w:firstColumn="0" w:lastColumn="0" w:oddVBand="0" w:evenVBand="0" w:oddHBand="0" w:evenHBand="0" w:firstRowFirstColumn="0" w:firstRowLastColumn="0" w:lastRowFirstColumn="0" w:lastRowLastColumn="0"/>
            </w:pPr>
            <w:r w:rsidRPr="00ED5A89">
              <w:t>44:42:00</w:t>
            </w:r>
          </w:p>
        </w:tc>
      </w:tr>
      <w:tr w:rsidR="00DC6095" w:rsidRPr="002E3ABA" w:rsidTr="00DC6095">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324" w:type="dxa"/>
            <w:noWrap/>
            <w:vAlign w:val="center"/>
          </w:tcPr>
          <w:p w:rsidR="00DC6095" w:rsidRPr="00ED5A89" w:rsidRDefault="00DC6095" w:rsidP="00DC6095">
            <w:pPr>
              <w:jc w:val="center"/>
            </w:pPr>
            <w:r w:rsidRPr="00ED5A89">
              <w:t>CH</w:t>
            </w:r>
          </w:p>
        </w:tc>
        <w:tc>
          <w:tcPr>
            <w:tcW w:w="3018" w:type="dxa"/>
            <w:noWrap/>
            <w:vAlign w:val="center"/>
          </w:tcPr>
          <w:p w:rsidR="00DC6095" w:rsidRPr="00ED5A89"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ED5A89">
              <w:t>900</w:t>
            </w:r>
          </w:p>
        </w:tc>
        <w:tc>
          <w:tcPr>
            <w:tcW w:w="3228" w:type="dxa"/>
            <w:noWrap/>
            <w:vAlign w:val="center"/>
          </w:tcPr>
          <w:p w:rsidR="00DC6095" w:rsidRPr="00ED5A89"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ED5A89">
              <w:t>1010</w:t>
            </w:r>
          </w:p>
        </w:tc>
        <w:tc>
          <w:tcPr>
            <w:tcW w:w="1433" w:type="dxa"/>
            <w:noWrap/>
            <w:vAlign w:val="center"/>
          </w:tcPr>
          <w:p w:rsidR="00DC6095" w:rsidRDefault="00DC6095" w:rsidP="00DC6095">
            <w:pPr>
              <w:jc w:val="center"/>
              <w:cnfStyle w:val="000000100000" w:firstRow="0" w:lastRow="0" w:firstColumn="0" w:lastColumn="0" w:oddVBand="0" w:evenVBand="0" w:oddHBand="1" w:evenHBand="0" w:firstRowFirstColumn="0" w:firstRowLastColumn="0" w:lastRowFirstColumn="0" w:lastRowLastColumn="0"/>
            </w:pPr>
            <w:r w:rsidRPr="00ED5A89">
              <w:t>31:50:00</w:t>
            </w:r>
          </w:p>
        </w:tc>
      </w:tr>
    </w:tbl>
    <w:p w:rsidR="00DA4043" w:rsidRPr="005F070D" w:rsidRDefault="00DA4043" w:rsidP="00AE2CF7">
      <w:pPr>
        <w:suppressAutoHyphens w:val="0"/>
        <w:spacing w:after="200" w:line="276" w:lineRule="auto"/>
        <w:jc w:val="both"/>
        <w:rPr>
          <w:rFonts w:eastAsia="Calibri" w:cs="Times New Roman"/>
          <w:i/>
          <w:color w:val="F79646"/>
          <w:sz w:val="24"/>
          <w:lang w:eastAsia="en-US"/>
        </w:rPr>
      </w:pPr>
    </w:p>
    <w:p w:rsidR="00350821" w:rsidRPr="002E3ABA" w:rsidRDefault="00350821" w:rsidP="00AE2CF7">
      <w:pPr>
        <w:spacing w:line="276" w:lineRule="auto"/>
        <w:jc w:val="both"/>
        <w:rPr>
          <w:rFonts w:eastAsia="Calibri"/>
          <w:lang w:eastAsia="en-US"/>
        </w:rPr>
      </w:pPr>
      <w:r w:rsidRPr="002E3ABA">
        <w:rPr>
          <w:rFonts w:eastAsia="Calibri"/>
          <w:lang w:eastAsia="en-US"/>
        </w:rPr>
        <w:t xml:space="preserve">Les temps de travaux par </w:t>
      </w:r>
      <w:r w:rsidR="0074755B" w:rsidRPr="002E3ABA">
        <w:rPr>
          <w:rFonts w:eastAsia="Calibri"/>
          <w:lang w:eastAsia="en-US"/>
        </w:rPr>
        <w:t xml:space="preserve">modalité sont équivalents à la parcelle de SRA 85, en effet l’itinéraire technique appliqué a été sensiblement le même. </w:t>
      </w:r>
    </w:p>
    <w:p w:rsidR="0074755B" w:rsidRDefault="0074755B" w:rsidP="00AE2CF7">
      <w:pPr>
        <w:spacing w:line="276" w:lineRule="auto"/>
        <w:jc w:val="both"/>
        <w:rPr>
          <w:rFonts w:eastAsia="Calibri"/>
          <w:lang w:eastAsia="en-US"/>
        </w:rPr>
      </w:pPr>
      <w:r w:rsidRPr="002E3ABA">
        <w:rPr>
          <w:rFonts w:eastAsia="Calibri"/>
          <w:lang w:eastAsia="en-US"/>
        </w:rPr>
        <w:t>Il est difficile de conclure que l’augmentation du temps de travail est préjudiciable économiquement tant que les marges ne seront pas disponibles (à partir d’avril).</w:t>
      </w: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122E90" w:rsidRDefault="00122E90" w:rsidP="00AE2CF7">
      <w:pPr>
        <w:spacing w:line="276" w:lineRule="auto"/>
        <w:jc w:val="both"/>
        <w:rPr>
          <w:rFonts w:eastAsia="Calibri"/>
          <w:lang w:eastAsia="en-US"/>
        </w:rPr>
      </w:pPr>
    </w:p>
    <w:p w:rsidR="0040739B" w:rsidRPr="005F070D" w:rsidRDefault="0040739B" w:rsidP="00AE2CF7">
      <w:pPr>
        <w:suppressAutoHyphens w:val="0"/>
        <w:spacing w:after="200" w:line="276" w:lineRule="auto"/>
        <w:jc w:val="both"/>
        <w:rPr>
          <w:rFonts w:eastAsia="Calibri" w:cs="Times New Roman"/>
          <w:b/>
          <w:sz w:val="24"/>
          <w:lang w:eastAsia="en-US"/>
        </w:rPr>
      </w:pPr>
      <w:r w:rsidRPr="005F070D">
        <w:rPr>
          <w:rFonts w:eastAsia="Calibri" w:cs="Times New Roman"/>
          <w:b/>
          <w:sz w:val="24"/>
          <w:lang w:eastAsia="en-US"/>
        </w:rPr>
        <w:lastRenderedPageBreak/>
        <w:t>Les indicateurs environnementaux</w:t>
      </w:r>
    </w:p>
    <w:p w:rsidR="0040739B" w:rsidRPr="005F070D" w:rsidRDefault="0040739B" w:rsidP="00AE2CF7">
      <w:pPr>
        <w:suppressAutoHyphens w:val="0"/>
        <w:spacing w:after="200" w:line="276" w:lineRule="auto"/>
        <w:jc w:val="both"/>
        <w:rPr>
          <w:rFonts w:eastAsia="Calibri" w:cs="Times New Roman"/>
          <w:sz w:val="24"/>
          <w:u w:val="single"/>
          <w:lang w:eastAsia="en-US"/>
        </w:rPr>
      </w:pPr>
      <w:r w:rsidRPr="005F070D">
        <w:rPr>
          <w:rFonts w:eastAsia="Calibri" w:cs="Times New Roman"/>
          <w:sz w:val="24"/>
          <w:u w:val="single"/>
          <w:lang w:eastAsia="en-US"/>
        </w:rPr>
        <w:t>Les acariens</w:t>
      </w:r>
    </w:p>
    <w:p w:rsidR="00122E90" w:rsidRPr="005F070D" w:rsidRDefault="00966A86" w:rsidP="00AE2CF7">
      <w:pPr>
        <w:suppressAutoHyphens w:val="0"/>
        <w:spacing w:after="200" w:line="276" w:lineRule="auto"/>
        <w:jc w:val="both"/>
        <w:rPr>
          <w:rFonts w:eastAsia="Calibri" w:cs="Times New Roman"/>
          <w:sz w:val="24"/>
          <w:lang w:eastAsia="en-US"/>
        </w:rPr>
      </w:pPr>
      <w:r w:rsidRPr="002E3ABA">
        <w:rPr>
          <w:rFonts w:eastAsia="Calibri" w:cs="Times New Roman"/>
          <w:szCs w:val="22"/>
          <w:lang w:eastAsia="en-US"/>
        </w:rPr>
        <w:t xml:space="preserve">Les populations d’acariens sont très faibles sur l’ensemble des parcelles, aussi bien </w:t>
      </w:r>
      <w:r w:rsidR="005F070D" w:rsidRPr="002E3ABA">
        <w:rPr>
          <w:rFonts w:eastAsia="Calibri" w:cs="Times New Roman"/>
          <w:szCs w:val="22"/>
          <w:lang w:eastAsia="en-US"/>
        </w:rPr>
        <w:t xml:space="preserve">en </w:t>
      </w:r>
      <w:r w:rsidRPr="002E3ABA">
        <w:rPr>
          <w:rFonts w:eastAsia="Calibri" w:cs="Times New Roman"/>
          <w:szCs w:val="22"/>
          <w:lang w:eastAsia="en-US"/>
        </w:rPr>
        <w:t>terme</w:t>
      </w:r>
      <w:r w:rsidR="006C6D0F">
        <w:rPr>
          <w:rFonts w:eastAsia="Calibri" w:cs="Times New Roman"/>
          <w:szCs w:val="22"/>
          <w:lang w:eastAsia="en-US"/>
        </w:rPr>
        <w:t>s</w:t>
      </w:r>
      <w:r w:rsidRPr="002E3ABA">
        <w:rPr>
          <w:rFonts w:eastAsia="Calibri" w:cs="Times New Roman"/>
          <w:szCs w:val="22"/>
          <w:lang w:eastAsia="en-US"/>
        </w:rPr>
        <w:t xml:space="preserve"> de diversité d’espèces que de quantité</w:t>
      </w:r>
      <w:r w:rsidRPr="005F070D">
        <w:rPr>
          <w:rFonts w:eastAsia="Calibri" w:cs="Times New Roman"/>
          <w:sz w:val="24"/>
          <w:lang w:eastAsia="en-US"/>
        </w:rPr>
        <w:t>.</w:t>
      </w:r>
      <w:r w:rsidR="00C51BDC">
        <w:rPr>
          <w:rFonts w:eastAsia="Calibri" w:cs="Times New Roman"/>
          <w:sz w:val="24"/>
          <w:lang w:eastAsia="en-US"/>
        </w:rPr>
        <w:t xml:space="preserve"> En effet, une seule espèce</w:t>
      </w:r>
      <w:r w:rsidR="006C6D0F">
        <w:rPr>
          <w:rFonts w:eastAsia="Calibri" w:cs="Times New Roman"/>
          <w:sz w:val="24"/>
          <w:lang w:eastAsia="en-US"/>
        </w:rPr>
        <w:t xml:space="preserve"> d’acarien prédateur</w:t>
      </w:r>
      <w:r w:rsidR="00C51BDC">
        <w:rPr>
          <w:rFonts w:eastAsia="Calibri" w:cs="Times New Roman"/>
          <w:sz w:val="24"/>
          <w:lang w:eastAsia="en-US"/>
        </w:rPr>
        <w:t xml:space="preserve"> a été recensée sur les trois parcelles : </w:t>
      </w:r>
      <w:r w:rsidR="00C51BDC" w:rsidRPr="00C51BDC">
        <w:rPr>
          <w:rFonts w:eastAsia="Calibri" w:cs="Times New Roman"/>
          <w:i/>
          <w:sz w:val="24"/>
          <w:lang w:eastAsia="en-US"/>
        </w:rPr>
        <w:t>Euseius stipulatus</w:t>
      </w:r>
      <w:r w:rsidR="00C51BDC">
        <w:rPr>
          <w:rFonts w:eastAsia="Calibri" w:cs="Times New Roman"/>
          <w:sz w:val="24"/>
          <w:lang w:eastAsia="en-US"/>
        </w:rPr>
        <w:t>.</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SRA 85</w:t>
      </w:r>
    </w:p>
    <w:p w:rsidR="00115C6E" w:rsidRPr="005F070D" w:rsidRDefault="00C71AE7" w:rsidP="00AE2CF7">
      <w:pPr>
        <w:keepNext/>
        <w:suppressAutoHyphens w:val="0"/>
        <w:spacing w:after="200" w:line="276" w:lineRule="auto"/>
        <w:jc w:val="center"/>
        <w:rPr>
          <w:rFonts w:cs="Times New Roman"/>
          <w:sz w:val="24"/>
        </w:rPr>
      </w:pPr>
      <w:r>
        <w:rPr>
          <w:noProof/>
          <w:lang w:eastAsia="fr-FR"/>
        </w:rPr>
        <w:drawing>
          <wp:inline distT="0" distB="0" distL="0" distR="0" wp14:anchorId="57CC7D5C" wp14:editId="14AD426B">
            <wp:extent cx="4320000" cy="2520000"/>
            <wp:effectExtent l="0" t="0" r="23495" b="1397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739B" w:rsidRDefault="00115C6E"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8</w:t>
      </w:r>
      <w:r w:rsidR="008F72D3">
        <w:rPr>
          <w:noProof/>
        </w:rPr>
        <w:fldChar w:fldCharType="end"/>
      </w:r>
      <w:r w:rsidRPr="005F070D">
        <w:t xml:space="preserve"> : répartition du nombre d'acariens par mois et </w:t>
      </w:r>
      <w:r w:rsidRPr="002E3ABA">
        <w:t>modalité</w:t>
      </w:r>
    </w:p>
    <w:p w:rsidR="00C51BDC" w:rsidRDefault="00C51BDC" w:rsidP="00C51BDC">
      <w:pPr>
        <w:rPr>
          <w:lang w:eastAsia="en-US"/>
        </w:rPr>
      </w:pPr>
      <w:r>
        <w:rPr>
          <w:lang w:eastAsia="en-US"/>
        </w:rPr>
        <w:t>Sur les trois mois de prélèvements, il n’y a qu’au mois de juillet que des populations sont observées. Comme pour les années précédentes, les populations sont très faibles.</w:t>
      </w:r>
    </w:p>
    <w:p w:rsidR="00DC6095" w:rsidRPr="00C51BDC" w:rsidRDefault="00DC6095" w:rsidP="00C51BDC">
      <w:pPr>
        <w:rPr>
          <w:lang w:eastAsia="en-US"/>
        </w:rPr>
      </w:pPr>
    </w:p>
    <w:p w:rsidR="0040739B"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t>Caffin</w:t>
      </w:r>
    </w:p>
    <w:p w:rsidR="00DC6095" w:rsidRPr="005F070D" w:rsidRDefault="00DC6095" w:rsidP="00AE2CF7">
      <w:pPr>
        <w:suppressAutoHyphens w:val="0"/>
        <w:spacing w:after="200" w:line="276" w:lineRule="auto"/>
        <w:jc w:val="both"/>
        <w:rPr>
          <w:rFonts w:eastAsia="Calibri" w:cs="Times New Roman"/>
          <w:i/>
          <w:color w:val="F79646"/>
          <w:sz w:val="24"/>
          <w:lang w:eastAsia="en-US"/>
        </w:rPr>
      </w:pPr>
    </w:p>
    <w:p w:rsidR="008C5A85" w:rsidRPr="005F070D" w:rsidRDefault="00C71AE7" w:rsidP="00AE2CF7">
      <w:pPr>
        <w:keepNext/>
        <w:suppressAutoHyphens w:val="0"/>
        <w:spacing w:after="200" w:line="276" w:lineRule="auto"/>
        <w:jc w:val="center"/>
        <w:rPr>
          <w:rFonts w:cs="Times New Roman"/>
          <w:sz w:val="24"/>
        </w:rPr>
      </w:pPr>
      <w:r>
        <w:rPr>
          <w:noProof/>
          <w:lang w:eastAsia="fr-FR"/>
        </w:rPr>
        <w:drawing>
          <wp:inline distT="0" distB="0" distL="0" distR="0" wp14:anchorId="2CE6F285" wp14:editId="23DA5802">
            <wp:extent cx="4320000" cy="2520000"/>
            <wp:effectExtent l="0" t="0" r="23495" b="1397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739B" w:rsidRDefault="008C5A85"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9</w:t>
      </w:r>
      <w:r w:rsidR="008F72D3">
        <w:rPr>
          <w:noProof/>
        </w:rPr>
        <w:fldChar w:fldCharType="end"/>
      </w:r>
      <w:r w:rsidRPr="005F070D">
        <w:t xml:space="preserve"> : répartition du nombre d'acariens par mois et </w:t>
      </w:r>
      <w:r w:rsidRPr="002E3ABA">
        <w:t>modalité</w:t>
      </w:r>
    </w:p>
    <w:p w:rsidR="00C51BDC" w:rsidRPr="00C51BDC" w:rsidRDefault="00C51BDC" w:rsidP="00C51BDC">
      <w:pPr>
        <w:rPr>
          <w:lang w:eastAsia="en-US"/>
        </w:rPr>
      </w:pPr>
      <w:r>
        <w:rPr>
          <w:lang w:eastAsia="en-US"/>
        </w:rPr>
        <w:t>Sur l’ensemble des prélèvements, un acarien a été retrouvé sur la modalité « LB » et « 50% ».</w:t>
      </w:r>
    </w:p>
    <w:p w:rsidR="0040739B" w:rsidRPr="005F070D" w:rsidRDefault="0040739B" w:rsidP="00AE2CF7">
      <w:pPr>
        <w:suppressAutoHyphens w:val="0"/>
        <w:spacing w:after="200" w:line="276" w:lineRule="auto"/>
        <w:jc w:val="both"/>
        <w:rPr>
          <w:rFonts w:eastAsia="Calibri" w:cs="Times New Roman"/>
          <w:i/>
          <w:color w:val="F79646"/>
          <w:sz w:val="24"/>
          <w:lang w:eastAsia="en-US"/>
        </w:rPr>
      </w:pPr>
      <w:r w:rsidRPr="005F070D">
        <w:rPr>
          <w:rFonts w:eastAsia="Calibri" w:cs="Times New Roman"/>
          <w:i/>
          <w:color w:val="F79646"/>
          <w:sz w:val="24"/>
          <w:lang w:eastAsia="en-US"/>
        </w:rPr>
        <w:lastRenderedPageBreak/>
        <w:t>SRA 92</w:t>
      </w:r>
    </w:p>
    <w:p w:rsidR="00A83E6F" w:rsidRPr="005F070D" w:rsidRDefault="001137BA" w:rsidP="00AE2CF7">
      <w:pPr>
        <w:keepNext/>
        <w:suppressAutoHyphens w:val="0"/>
        <w:spacing w:after="200" w:line="276" w:lineRule="auto"/>
        <w:jc w:val="center"/>
        <w:rPr>
          <w:rFonts w:cs="Times New Roman"/>
          <w:sz w:val="24"/>
        </w:rPr>
      </w:pPr>
      <w:r>
        <w:rPr>
          <w:noProof/>
          <w:lang w:eastAsia="fr-FR"/>
        </w:rPr>
        <w:drawing>
          <wp:inline distT="0" distB="0" distL="0" distR="0" wp14:anchorId="7ED1AF1A" wp14:editId="64EB40BD">
            <wp:extent cx="4320000" cy="2520000"/>
            <wp:effectExtent l="0" t="0" r="23495" b="1397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739B" w:rsidRPr="005F070D" w:rsidRDefault="00A83E6F"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10</w:t>
      </w:r>
      <w:r w:rsidR="008F72D3">
        <w:rPr>
          <w:noProof/>
        </w:rPr>
        <w:fldChar w:fldCharType="end"/>
      </w:r>
      <w:r w:rsidRPr="005F070D">
        <w:t xml:space="preserve"> : répartition du nombre d'acariens par mois et </w:t>
      </w:r>
      <w:r w:rsidRPr="002E3ABA">
        <w:t>modalité</w:t>
      </w:r>
    </w:p>
    <w:p w:rsidR="00DC6095" w:rsidRDefault="00050982"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Sur l’ensemble des prélèvements, un seul acarien a été retrouvé en juillet dans la modalité « CH ».</w:t>
      </w:r>
    </w:p>
    <w:p w:rsidR="00050982" w:rsidRPr="002E3ABA" w:rsidRDefault="00050982" w:rsidP="00AD77B3">
      <w:pPr>
        <w:jc w:val="both"/>
        <w:rPr>
          <w:rFonts w:eastAsia="Calibri"/>
          <w:lang w:eastAsia="en-US"/>
        </w:rPr>
      </w:pPr>
      <w:r>
        <w:rPr>
          <w:rFonts w:eastAsia="Calibri"/>
          <w:lang w:eastAsia="en-US"/>
        </w:rPr>
        <w:t>Cette année, les observations des feuilles de clémentiniers n’ont pas permis de recensées beaucoup d’acariens. Les populations sont quasi-inexistantes sur l’ensemble des parcelles et des modalités. Le protocole devra sans doute être révisé car il semble qu’il ne soit pas adapté à la culture de clémentiniers.</w:t>
      </w:r>
    </w:p>
    <w:p w:rsidR="00731DD1" w:rsidRDefault="00731DD1" w:rsidP="00AE2CF7">
      <w:pPr>
        <w:pStyle w:val="Titre3"/>
        <w:numPr>
          <w:ilvl w:val="0"/>
          <w:numId w:val="33"/>
        </w:numPr>
        <w:spacing w:line="276" w:lineRule="auto"/>
        <w:rPr>
          <w:rFonts w:ascii="Times New Roman" w:eastAsia="Calibri" w:hAnsi="Times New Roman"/>
          <w:sz w:val="24"/>
          <w:szCs w:val="24"/>
        </w:rPr>
      </w:pPr>
      <w:bookmarkStart w:id="25" w:name="_Toc446344576"/>
      <w:r>
        <w:rPr>
          <w:rFonts w:ascii="Times New Roman" w:eastAsia="Calibri" w:hAnsi="Times New Roman"/>
          <w:sz w:val="24"/>
          <w:szCs w:val="24"/>
        </w:rPr>
        <w:t>Le réseau ferme</w:t>
      </w:r>
      <w:bookmarkEnd w:id="25"/>
    </w:p>
    <w:p w:rsidR="00ED3273" w:rsidRDefault="00ED3273" w:rsidP="00AE2CF7">
      <w:pPr>
        <w:spacing w:line="276" w:lineRule="auto"/>
        <w:jc w:val="both"/>
        <w:rPr>
          <w:rFonts w:eastAsia="Calibri"/>
          <w:lang w:eastAsia="en-US"/>
        </w:rPr>
      </w:pPr>
    </w:p>
    <w:p w:rsidR="00ED3273" w:rsidRPr="00ED3273" w:rsidRDefault="00ED3273" w:rsidP="00AD77B3">
      <w:pPr>
        <w:jc w:val="both"/>
        <w:rPr>
          <w:rFonts w:eastAsia="Calibri"/>
          <w:lang w:eastAsia="en-US"/>
        </w:rPr>
      </w:pPr>
      <w:r w:rsidRPr="00ED3273">
        <w:rPr>
          <w:rFonts w:eastAsia="Calibri"/>
          <w:lang w:eastAsia="en-US"/>
        </w:rPr>
        <w:t>Dans le cadre du transfert vers le réseau ferme, un certain nombre d’indicateur a été appliqué sur quatre parcelles du réseau ferme : les analyses physico-chimiques des fruits et les populations d’acariens. Les quatre fermes ont été sélectionnées pour leur localisation contrastée.</w:t>
      </w:r>
    </w:p>
    <w:p w:rsidR="00DC6095" w:rsidRDefault="00DC6095" w:rsidP="00AE2CF7">
      <w:pPr>
        <w:spacing w:line="276" w:lineRule="auto"/>
        <w:rPr>
          <w:rFonts w:eastAsia="Calibri"/>
          <w:b/>
          <w:lang w:eastAsia="en-US"/>
        </w:rPr>
      </w:pPr>
    </w:p>
    <w:p w:rsidR="00ED3273" w:rsidRPr="00ED3273" w:rsidRDefault="00ED3273" w:rsidP="00AE2CF7">
      <w:pPr>
        <w:spacing w:line="276" w:lineRule="auto"/>
        <w:rPr>
          <w:rFonts w:eastAsia="Calibri"/>
          <w:b/>
          <w:lang w:eastAsia="en-US"/>
        </w:rPr>
      </w:pPr>
      <w:r w:rsidRPr="00ED3273">
        <w:rPr>
          <w:rFonts w:eastAsia="Calibri"/>
          <w:b/>
          <w:lang w:eastAsia="en-US"/>
        </w:rPr>
        <w:t>Les analyses de jus</w:t>
      </w:r>
    </w:p>
    <w:p w:rsidR="00731DD1" w:rsidRDefault="00731DD1" w:rsidP="00AE2CF7">
      <w:pPr>
        <w:spacing w:line="276" w:lineRule="auto"/>
        <w:rPr>
          <w:rFonts w:eastAsia="Calibri"/>
          <w:lang w:eastAsia="en-US"/>
        </w:rPr>
      </w:pPr>
    </w:p>
    <w:p w:rsidR="00ED3273" w:rsidRDefault="00ED3273" w:rsidP="00AE2CF7">
      <w:pPr>
        <w:pStyle w:val="Lgende"/>
        <w:keepNext/>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19</w:t>
      </w:r>
      <w:r w:rsidR="008F72D3">
        <w:rPr>
          <w:noProof/>
        </w:rPr>
        <w:fldChar w:fldCharType="end"/>
      </w:r>
      <w:r>
        <w:t xml:space="preserve"> : </w:t>
      </w:r>
      <w:r w:rsidR="00AE2CF7">
        <w:t>pourcentage</w:t>
      </w:r>
      <w:r>
        <w:t xml:space="preserve"> de jus par ferme</w:t>
      </w:r>
    </w:p>
    <w:tbl>
      <w:tblPr>
        <w:tblStyle w:val="Trameclaire-Accent4"/>
        <w:tblpPr w:leftFromText="141" w:rightFromText="141" w:vertAnchor="text" w:horzAnchor="margin" w:tblpXSpec="center" w:tblpY="2"/>
        <w:tblW w:w="2782" w:type="dxa"/>
        <w:tblLook w:val="04A0" w:firstRow="1" w:lastRow="0" w:firstColumn="1" w:lastColumn="0" w:noHBand="0" w:noVBand="1"/>
      </w:tblPr>
      <w:tblGrid>
        <w:gridCol w:w="1391"/>
        <w:gridCol w:w="1391"/>
      </w:tblGrid>
      <w:tr w:rsidR="00102AFD" w:rsidRPr="00801E87" w:rsidTr="00102A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1" w:type="dxa"/>
            <w:vAlign w:val="center"/>
            <w:hideMark/>
          </w:tcPr>
          <w:p w:rsidR="00102AFD" w:rsidRPr="00827897" w:rsidRDefault="00102AFD" w:rsidP="00AE2CF7">
            <w:pPr>
              <w:spacing w:line="276" w:lineRule="auto"/>
              <w:jc w:val="center"/>
              <w:rPr>
                <w:rFonts w:ascii="Times New Roman" w:hAnsi="Times New Roman" w:cs="Times New Roman"/>
                <w:b w:val="0"/>
                <w:color w:val="000000" w:themeColor="text1"/>
                <w:lang w:eastAsia="fr-FR"/>
              </w:rPr>
            </w:pPr>
            <w:r w:rsidRPr="00827897">
              <w:rPr>
                <w:rFonts w:ascii="Times New Roman" w:hAnsi="Times New Roman" w:cs="Times New Roman"/>
                <w:b w:val="0"/>
                <w:color w:val="000000" w:themeColor="text1"/>
                <w:lang w:eastAsia="fr-FR"/>
              </w:rPr>
              <w:t>Ferme</w:t>
            </w:r>
          </w:p>
        </w:tc>
        <w:tc>
          <w:tcPr>
            <w:tcW w:w="1391" w:type="dxa"/>
            <w:noWrap/>
            <w:vAlign w:val="center"/>
            <w:hideMark/>
          </w:tcPr>
          <w:p w:rsidR="00102AFD" w:rsidRPr="00827897" w:rsidRDefault="00102AFD" w:rsidP="00AE2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lang w:eastAsia="fr-FR"/>
              </w:rPr>
            </w:pPr>
            <w:r w:rsidRPr="00827897">
              <w:rPr>
                <w:rFonts w:ascii="Times New Roman" w:hAnsi="Times New Roman" w:cs="Times New Roman"/>
                <w:b w:val="0"/>
                <w:color w:val="000000" w:themeColor="text1"/>
                <w:lang w:eastAsia="fr-FR"/>
              </w:rPr>
              <w:t>% je jus</w:t>
            </w:r>
          </w:p>
        </w:tc>
      </w:tr>
      <w:tr w:rsidR="00102AFD" w:rsidRPr="00801E87" w:rsidTr="00102A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rsidR="00102AFD" w:rsidRPr="00827897" w:rsidRDefault="00102AFD" w:rsidP="00AE2CF7">
            <w:pPr>
              <w:spacing w:line="276" w:lineRule="auto"/>
              <w:jc w:val="center"/>
              <w:rPr>
                <w:rFonts w:ascii="Times New Roman" w:hAnsi="Times New Roman" w:cs="Times New Roman"/>
                <w:b w:val="0"/>
                <w:color w:val="000000" w:themeColor="text1"/>
                <w:lang w:eastAsia="fr-FR"/>
              </w:rPr>
            </w:pPr>
            <w:r w:rsidRPr="00827897">
              <w:rPr>
                <w:rFonts w:ascii="Times New Roman" w:hAnsi="Times New Roman" w:cs="Times New Roman"/>
                <w:b w:val="0"/>
                <w:color w:val="000000" w:themeColor="text1"/>
                <w:lang w:eastAsia="fr-FR"/>
              </w:rPr>
              <w:t>1</w:t>
            </w:r>
          </w:p>
        </w:tc>
        <w:tc>
          <w:tcPr>
            <w:tcW w:w="1391" w:type="dxa"/>
            <w:noWrap/>
            <w:vAlign w:val="center"/>
            <w:hideMark/>
          </w:tcPr>
          <w:p w:rsidR="00102AFD" w:rsidRPr="00827897" w:rsidRDefault="00102AFD" w:rsidP="00AE2C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fr-FR"/>
              </w:rPr>
            </w:pPr>
            <w:r w:rsidRPr="00827897">
              <w:rPr>
                <w:rFonts w:ascii="Times New Roman" w:hAnsi="Times New Roman" w:cs="Times New Roman"/>
                <w:color w:val="000000" w:themeColor="text1"/>
                <w:lang w:eastAsia="fr-FR"/>
              </w:rPr>
              <w:t>45%</w:t>
            </w:r>
          </w:p>
        </w:tc>
      </w:tr>
      <w:tr w:rsidR="00102AFD" w:rsidRPr="00801E87" w:rsidTr="00102AFD">
        <w:trPr>
          <w:trHeight w:val="30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rsidR="00102AFD" w:rsidRPr="00827897" w:rsidRDefault="00102AFD" w:rsidP="00AE2CF7">
            <w:pPr>
              <w:spacing w:line="276" w:lineRule="auto"/>
              <w:jc w:val="center"/>
              <w:rPr>
                <w:rFonts w:ascii="Times New Roman" w:hAnsi="Times New Roman" w:cs="Times New Roman"/>
                <w:b w:val="0"/>
                <w:color w:val="000000" w:themeColor="text1"/>
                <w:lang w:eastAsia="fr-FR"/>
              </w:rPr>
            </w:pPr>
            <w:r w:rsidRPr="00827897">
              <w:rPr>
                <w:rFonts w:ascii="Times New Roman" w:hAnsi="Times New Roman" w:cs="Times New Roman"/>
                <w:b w:val="0"/>
                <w:color w:val="000000" w:themeColor="text1"/>
                <w:lang w:eastAsia="fr-FR"/>
              </w:rPr>
              <w:t>2</w:t>
            </w:r>
          </w:p>
        </w:tc>
        <w:tc>
          <w:tcPr>
            <w:tcW w:w="1391" w:type="dxa"/>
            <w:noWrap/>
            <w:vAlign w:val="center"/>
            <w:hideMark/>
          </w:tcPr>
          <w:p w:rsidR="00102AFD" w:rsidRPr="00827897" w:rsidRDefault="00102AFD" w:rsidP="00AE2C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fr-FR"/>
              </w:rPr>
            </w:pPr>
            <w:r w:rsidRPr="00827897">
              <w:rPr>
                <w:rFonts w:ascii="Times New Roman" w:hAnsi="Times New Roman" w:cs="Times New Roman"/>
                <w:color w:val="000000" w:themeColor="text1"/>
                <w:lang w:eastAsia="fr-FR"/>
              </w:rPr>
              <w:t>45%</w:t>
            </w:r>
          </w:p>
        </w:tc>
      </w:tr>
      <w:tr w:rsidR="00102AFD" w:rsidRPr="00801E87" w:rsidTr="00102A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rsidR="00102AFD" w:rsidRPr="00827897" w:rsidRDefault="00102AFD" w:rsidP="00AE2CF7">
            <w:pPr>
              <w:spacing w:line="276" w:lineRule="auto"/>
              <w:jc w:val="center"/>
              <w:rPr>
                <w:rFonts w:ascii="Times New Roman" w:hAnsi="Times New Roman" w:cs="Times New Roman"/>
                <w:b w:val="0"/>
                <w:color w:val="000000" w:themeColor="text1"/>
                <w:lang w:eastAsia="fr-FR"/>
              </w:rPr>
            </w:pPr>
            <w:r w:rsidRPr="00827897">
              <w:rPr>
                <w:rFonts w:ascii="Times New Roman" w:hAnsi="Times New Roman" w:cs="Times New Roman"/>
                <w:b w:val="0"/>
                <w:color w:val="000000" w:themeColor="text1"/>
                <w:lang w:eastAsia="fr-FR"/>
              </w:rPr>
              <w:t>3</w:t>
            </w:r>
          </w:p>
        </w:tc>
        <w:tc>
          <w:tcPr>
            <w:tcW w:w="1391" w:type="dxa"/>
            <w:noWrap/>
            <w:vAlign w:val="center"/>
            <w:hideMark/>
          </w:tcPr>
          <w:p w:rsidR="00102AFD" w:rsidRPr="00827897" w:rsidRDefault="00102AFD" w:rsidP="00AE2CF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fr-FR"/>
              </w:rPr>
            </w:pPr>
            <w:r w:rsidRPr="00827897">
              <w:rPr>
                <w:rFonts w:ascii="Times New Roman" w:hAnsi="Times New Roman" w:cs="Times New Roman"/>
                <w:color w:val="000000" w:themeColor="text1"/>
                <w:lang w:eastAsia="fr-FR"/>
              </w:rPr>
              <w:t>46%</w:t>
            </w:r>
          </w:p>
        </w:tc>
      </w:tr>
      <w:tr w:rsidR="00102AFD" w:rsidRPr="00801E87" w:rsidTr="00102AFD">
        <w:trPr>
          <w:trHeight w:val="80"/>
        </w:trPr>
        <w:tc>
          <w:tcPr>
            <w:cnfStyle w:val="001000000000" w:firstRow="0" w:lastRow="0" w:firstColumn="1" w:lastColumn="0" w:oddVBand="0" w:evenVBand="0" w:oddHBand="0" w:evenHBand="0" w:firstRowFirstColumn="0" w:firstRowLastColumn="0" w:lastRowFirstColumn="0" w:lastRowLastColumn="0"/>
            <w:tcW w:w="1391" w:type="dxa"/>
            <w:noWrap/>
            <w:vAlign w:val="center"/>
            <w:hideMark/>
          </w:tcPr>
          <w:p w:rsidR="00102AFD" w:rsidRPr="00827897" w:rsidRDefault="00102AFD" w:rsidP="00AE2CF7">
            <w:pPr>
              <w:spacing w:line="276" w:lineRule="auto"/>
              <w:jc w:val="center"/>
              <w:rPr>
                <w:rFonts w:ascii="Times New Roman" w:hAnsi="Times New Roman" w:cs="Times New Roman"/>
                <w:b w:val="0"/>
                <w:color w:val="000000" w:themeColor="text1"/>
                <w:lang w:eastAsia="fr-FR"/>
              </w:rPr>
            </w:pPr>
            <w:r w:rsidRPr="00827897">
              <w:rPr>
                <w:rFonts w:ascii="Times New Roman" w:hAnsi="Times New Roman" w:cs="Times New Roman"/>
                <w:b w:val="0"/>
                <w:color w:val="000000" w:themeColor="text1"/>
                <w:lang w:eastAsia="fr-FR"/>
              </w:rPr>
              <w:t>4</w:t>
            </w:r>
          </w:p>
        </w:tc>
        <w:tc>
          <w:tcPr>
            <w:tcW w:w="1391" w:type="dxa"/>
            <w:noWrap/>
            <w:vAlign w:val="center"/>
            <w:hideMark/>
          </w:tcPr>
          <w:p w:rsidR="00102AFD" w:rsidRPr="00827897" w:rsidRDefault="00102AFD" w:rsidP="00AE2CF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fr-FR"/>
              </w:rPr>
            </w:pPr>
            <w:r w:rsidRPr="00827897">
              <w:rPr>
                <w:rFonts w:ascii="Times New Roman" w:hAnsi="Times New Roman" w:cs="Times New Roman"/>
                <w:color w:val="000000" w:themeColor="text1"/>
                <w:lang w:eastAsia="fr-FR"/>
              </w:rPr>
              <w:t>44%</w:t>
            </w:r>
          </w:p>
        </w:tc>
      </w:tr>
    </w:tbl>
    <w:p w:rsidR="00ED3273" w:rsidRDefault="00ED3273" w:rsidP="00AE2CF7">
      <w:pPr>
        <w:spacing w:line="276" w:lineRule="auto"/>
        <w:jc w:val="both"/>
        <w:rPr>
          <w:rFonts w:eastAsia="Calibri"/>
          <w:lang w:eastAsia="en-US"/>
        </w:rPr>
      </w:pPr>
    </w:p>
    <w:p w:rsidR="00ED3273" w:rsidRDefault="00ED3273" w:rsidP="00AE2CF7">
      <w:pPr>
        <w:spacing w:line="276" w:lineRule="auto"/>
        <w:jc w:val="both"/>
        <w:rPr>
          <w:rFonts w:eastAsia="Calibri"/>
          <w:lang w:eastAsia="en-US"/>
        </w:rPr>
      </w:pPr>
    </w:p>
    <w:p w:rsidR="00ED3273" w:rsidRDefault="00ED3273" w:rsidP="00AE2CF7">
      <w:pPr>
        <w:spacing w:line="276" w:lineRule="auto"/>
        <w:jc w:val="both"/>
        <w:rPr>
          <w:rFonts w:eastAsia="Calibri"/>
          <w:lang w:eastAsia="en-US"/>
        </w:rPr>
      </w:pPr>
    </w:p>
    <w:p w:rsidR="00ED3273" w:rsidRDefault="00ED3273" w:rsidP="00AE2CF7">
      <w:pPr>
        <w:spacing w:line="276" w:lineRule="auto"/>
        <w:jc w:val="both"/>
        <w:rPr>
          <w:rFonts w:eastAsia="Calibri"/>
          <w:lang w:eastAsia="en-US"/>
        </w:rPr>
      </w:pPr>
    </w:p>
    <w:p w:rsidR="00A265EB" w:rsidRDefault="00A265EB" w:rsidP="00AE2CF7">
      <w:pPr>
        <w:spacing w:line="276" w:lineRule="auto"/>
        <w:jc w:val="both"/>
        <w:rPr>
          <w:rFonts w:eastAsia="Calibri"/>
          <w:lang w:eastAsia="en-US"/>
        </w:rPr>
      </w:pPr>
    </w:p>
    <w:p w:rsidR="00ED3273" w:rsidRDefault="00ED3273" w:rsidP="00AD77B3">
      <w:pPr>
        <w:jc w:val="both"/>
        <w:rPr>
          <w:rFonts w:eastAsia="Calibri"/>
          <w:lang w:eastAsia="en-US"/>
        </w:rPr>
      </w:pPr>
    </w:p>
    <w:p w:rsidR="00ED3273" w:rsidRPr="00ED3273" w:rsidRDefault="00ED3273" w:rsidP="00AD77B3">
      <w:pPr>
        <w:jc w:val="both"/>
        <w:rPr>
          <w:rFonts w:eastAsia="Calibri"/>
          <w:lang w:eastAsia="en-US"/>
        </w:rPr>
      </w:pPr>
      <w:r>
        <w:rPr>
          <w:rFonts w:eastAsia="Calibri"/>
          <w:lang w:eastAsia="en-US"/>
        </w:rPr>
        <w:t>Les taux de jus sont sensiblement les mêmes dans les quatre ferme</w:t>
      </w:r>
      <w:r w:rsidR="004137CF">
        <w:rPr>
          <w:rFonts w:eastAsia="Calibri"/>
          <w:lang w:eastAsia="en-US"/>
        </w:rPr>
        <w:t>s</w:t>
      </w:r>
      <w:r>
        <w:rPr>
          <w:rFonts w:eastAsia="Calibri"/>
          <w:lang w:eastAsia="en-US"/>
        </w:rPr>
        <w:t xml:space="preserve">. La </w:t>
      </w:r>
      <w:r w:rsidR="00102AFD">
        <w:rPr>
          <w:rFonts w:eastAsia="Calibri"/>
          <w:lang w:eastAsia="en-US"/>
        </w:rPr>
        <w:t>localisation</w:t>
      </w:r>
      <w:r>
        <w:rPr>
          <w:rFonts w:eastAsia="Calibri"/>
          <w:lang w:eastAsia="en-US"/>
        </w:rPr>
        <w:t xml:space="preserve"> et les différences dans les itinéraires techniques n’engendrent pas de variations dans la proportion de jus contenue dans les clémentines.</w:t>
      </w:r>
    </w:p>
    <w:p w:rsidR="00ED3273" w:rsidRDefault="00ED3273" w:rsidP="00AE2CF7">
      <w:pPr>
        <w:keepNext/>
        <w:spacing w:line="276" w:lineRule="auto"/>
        <w:jc w:val="center"/>
      </w:pPr>
      <w:r>
        <w:rPr>
          <w:noProof/>
          <w:lang w:eastAsia="fr-FR"/>
        </w:rPr>
        <w:lastRenderedPageBreak/>
        <w:drawing>
          <wp:inline distT="0" distB="0" distL="0" distR="0" wp14:anchorId="04F05AD0" wp14:editId="13D8910B">
            <wp:extent cx="4320000" cy="2520000"/>
            <wp:effectExtent l="0" t="0" r="23495" b="1397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1DD1" w:rsidRDefault="00ED3273" w:rsidP="00AE2CF7">
      <w:pPr>
        <w:pStyle w:val="Lgende"/>
        <w:spacing w:line="276" w:lineRule="auto"/>
        <w:jc w:val="center"/>
      </w:pPr>
      <w:r>
        <w:t xml:space="preserve">Figure </w:t>
      </w:r>
      <w:r w:rsidR="008F72D3">
        <w:fldChar w:fldCharType="begin"/>
      </w:r>
      <w:r w:rsidR="008F72D3">
        <w:instrText xml:space="preserve"> SEQ Figure \* ARABIC </w:instrText>
      </w:r>
      <w:r w:rsidR="008F72D3">
        <w:fldChar w:fldCharType="separate"/>
      </w:r>
      <w:r w:rsidR="00DA2B09">
        <w:rPr>
          <w:noProof/>
        </w:rPr>
        <w:t>11</w:t>
      </w:r>
      <w:r w:rsidR="008F72D3">
        <w:rPr>
          <w:noProof/>
        </w:rPr>
        <w:fldChar w:fldCharType="end"/>
      </w:r>
      <w:r>
        <w:t xml:space="preserve"> : teneur en sucre et acidité par ferme</w:t>
      </w:r>
    </w:p>
    <w:p w:rsidR="00C51BDC" w:rsidRDefault="00C51BDC" w:rsidP="00C51BDC">
      <w:pPr>
        <w:rPr>
          <w:lang w:eastAsia="en-US"/>
        </w:rPr>
      </w:pPr>
    </w:p>
    <w:p w:rsidR="00C51BDC" w:rsidRPr="00C51BDC" w:rsidRDefault="00C51BDC" w:rsidP="00C51BDC">
      <w:pPr>
        <w:rPr>
          <w:b/>
          <w:lang w:eastAsia="en-US"/>
        </w:rPr>
      </w:pPr>
      <w:r w:rsidRPr="00C51BDC">
        <w:rPr>
          <w:b/>
          <w:lang w:eastAsia="en-US"/>
        </w:rPr>
        <w:t>Les populations d’acariens</w:t>
      </w:r>
    </w:p>
    <w:p w:rsidR="00C51BDC" w:rsidRPr="00C51BDC" w:rsidRDefault="00C51BDC" w:rsidP="00C51BDC">
      <w:pPr>
        <w:jc w:val="both"/>
        <w:rPr>
          <w:i/>
          <w:lang w:eastAsia="en-US"/>
        </w:rPr>
      </w:pPr>
      <w:r>
        <w:rPr>
          <w:lang w:eastAsia="en-US"/>
        </w:rPr>
        <w:t>Sur l’ensemble des prélèvements réalisés pendant l’</w:t>
      </w:r>
      <w:r w:rsidR="004137CF">
        <w:rPr>
          <w:lang w:eastAsia="en-US"/>
        </w:rPr>
        <w:t>été, une seule espèce d’acarien</w:t>
      </w:r>
      <w:r>
        <w:rPr>
          <w:lang w:eastAsia="en-US"/>
        </w:rPr>
        <w:t xml:space="preserve"> a été retrouvée : </w:t>
      </w:r>
      <w:r w:rsidRPr="00C51BDC">
        <w:rPr>
          <w:i/>
          <w:lang w:eastAsia="en-US"/>
        </w:rPr>
        <w:t>E. stipulatus.</w:t>
      </w:r>
    </w:p>
    <w:p w:rsidR="00C51BDC" w:rsidRDefault="00C51BDC" w:rsidP="00C51BDC">
      <w:pPr>
        <w:keepNext/>
        <w:spacing w:line="276" w:lineRule="auto"/>
        <w:jc w:val="center"/>
      </w:pPr>
      <w:r>
        <w:rPr>
          <w:noProof/>
          <w:lang w:eastAsia="fr-FR"/>
        </w:rPr>
        <w:drawing>
          <wp:inline distT="0" distB="0" distL="0" distR="0" wp14:anchorId="3DBB0F74" wp14:editId="4C4CA64A">
            <wp:extent cx="4320000" cy="2520000"/>
            <wp:effectExtent l="0" t="0" r="23495" b="1397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3273" w:rsidRDefault="00C51BDC" w:rsidP="00C51BDC">
      <w:pPr>
        <w:pStyle w:val="Lgende"/>
        <w:jc w:val="center"/>
      </w:pPr>
      <w:r>
        <w:t xml:space="preserve">Figure </w:t>
      </w:r>
      <w:r w:rsidR="008F72D3">
        <w:fldChar w:fldCharType="begin"/>
      </w:r>
      <w:r w:rsidR="008F72D3">
        <w:instrText xml:space="preserve"> SEQ Figure \* ARABIC </w:instrText>
      </w:r>
      <w:r w:rsidR="008F72D3">
        <w:fldChar w:fldCharType="separate"/>
      </w:r>
      <w:r w:rsidR="00DA2B09">
        <w:rPr>
          <w:noProof/>
        </w:rPr>
        <w:t>12</w:t>
      </w:r>
      <w:r w:rsidR="008F72D3">
        <w:rPr>
          <w:noProof/>
        </w:rPr>
        <w:fldChar w:fldCharType="end"/>
      </w:r>
      <w:r>
        <w:t xml:space="preserve"> : populations d'acariens par mois et par ferme</w:t>
      </w:r>
    </w:p>
    <w:p w:rsidR="00C51BDC" w:rsidRDefault="00C51BDC" w:rsidP="004137CF">
      <w:pPr>
        <w:spacing w:line="276" w:lineRule="auto"/>
        <w:jc w:val="both"/>
        <w:rPr>
          <w:rFonts w:eastAsia="Calibri"/>
          <w:lang w:eastAsia="en-US"/>
        </w:rPr>
      </w:pPr>
      <w:r>
        <w:rPr>
          <w:rFonts w:eastAsia="Calibri"/>
          <w:lang w:eastAsia="en-US"/>
        </w:rPr>
        <w:t>Comme pour les parcelles Dephy Expé, les populations d’acariens sont très faibles. La ferme n°2 est celle qui obtient les meilleurs résultats avec 6 acariens. De plus, c’est au mois de juillet que les populations sont le plus importantes.</w:t>
      </w:r>
      <w:r w:rsidR="00155094">
        <w:rPr>
          <w:rFonts w:eastAsia="Calibri"/>
          <w:lang w:eastAsia="en-US"/>
        </w:rPr>
        <w:t xml:space="preserve"> Sur un des site</w:t>
      </w:r>
      <w:r w:rsidR="00B31A96">
        <w:rPr>
          <w:rFonts w:eastAsia="Calibri"/>
          <w:lang w:eastAsia="en-US"/>
        </w:rPr>
        <w:t>s</w:t>
      </w:r>
      <w:r w:rsidR="00155094">
        <w:rPr>
          <w:rFonts w:eastAsia="Calibri"/>
          <w:lang w:eastAsia="en-US"/>
        </w:rPr>
        <w:t>, aucun acarien n’a été retrouvé.</w:t>
      </w:r>
    </w:p>
    <w:p w:rsidR="004137CF" w:rsidRDefault="004137CF" w:rsidP="004137CF">
      <w:pPr>
        <w:spacing w:line="276" w:lineRule="auto"/>
        <w:jc w:val="both"/>
        <w:rPr>
          <w:rFonts w:eastAsia="Calibri"/>
          <w:b/>
          <w:lang w:eastAsia="en-US"/>
        </w:rPr>
      </w:pPr>
    </w:p>
    <w:p w:rsidR="00155094" w:rsidRDefault="00155094" w:rsidP="00C51BDC">
      <w:pPr>
        <w:jc w:val="both"/>
        <w:rPr>
          <w:rFonts w:eastAsia="Calibri"/>
          <w:b/>
          <w:lang w:eastAsia="en-US"/>
        </w:rPr>
      </w:pPr>
      <w:r w:rsidRPr="00155094">
        <w:rPr>
          <w:rFonts w:eastAsia="Calibri"/>
          <w:b/>
          <w:lang w:eastAsia="en-US"/>
        </w:rPr>
        <w:t>Le projet Cors’Aphy</w:t>
      </w:r>
    </w:p>
    <w:p w:rsidR="00155094" w:rsidRDefault="004137CF" w:rsidP="004137CF">
      <w:pPr>
        <w:spacing w:line="276" w:lineRule="auto"/>
        <w:jc w:val="both"/>
        <w:rPr>
          <w:rFonts w:eastAsiaTheme="minorEastAsia"/>
        </w:rPr>
      </w:pPr>
      <w:r>
        <w:rPr>
          <w:rFonts w:eastAsia="Calibri"/>
          <w:lang w:eastAsia="en-US"/>
        </w:rPr>
        <w:t xml:space="preserve">En 2014, </w:t>
      </w:r>
      <w:r w:rsidR="00155094">
        <w:rPr>
          <w:rFonts w:eastAsiaTheme="minorEastAsia"/>
        </w:rPr>
        <w:t>le projet Ecophyto/FRB Cors’Aphy (Incidence d’</w:t>
      </w:r>
      <w:r w:rsidR="00B74876">
        <w:rPr>
          <w:rFonts w:eastAsiaTheme="minorEastAsia"/>
          <w:i/>
          <w:iCs/>
        </w:rPr>
        <w:t>Aphytis</w:t>
      </w:r>
      <w:r w:rsidR="00155094">
        <w:rPr>
          <w:rFonts w:eastAsiaTheme="minorEastAsia"/>
          <w:i/>
          <w:iCs/>
        </w:rPr>
        <w:t xml:space="preserve"> melinus </w:t>
      </w:r>
      <w:r w:rsidR="00155094">
        <w:rPr>
          <w:rFonts w:eastAsiaTheme="minorEastAsia"/>
        </w:rPr>
        <w:t xml:space="preserve">sur la biodiversité) a débuté. </w:t>
      </w:r>
      <w:r w:rsidR="00B80597">
        <w:rPr>
          <w:rFonts w:eastAsiaTheme="minorEastAsia"/>
        </w:rPr>
        <w:t>En 2015,</w:t>
      </w:r>
      <w:r w:rsidR="00155094">
        <w:rPr>
          <w:rFonts w:eastAsiaTheme="minorEastAsia"/>
        </w:rPr>
        <w:t xml:space="preserve"> quatre fermes</w:t>
      </w:r>
      <w:r w:rsidR="00B80597">
        <w:rPr>
          <w:rFonts w:eastAsiaTheme="minorEastAsia"/>
        </w:rPr>
        <w:t xml:space="preserve"> du réseau </w:t>
      </w:r>
      <w:r w:rsidR="00155094">
        <w:rPr>
          <w:rFonts w:eastAsiaTheme="minorEastAsia"/>
        </w:rPr>
        <w:t xml:space="preserve"> ont été échantillonnées dans le cadre de ce projet. Des prospections de cochenilles diaspines ont été réalisés et les parasitoïdes émergents de ces cochenilles ont été récupérés afin d’être identifiés.</w:t>
      </w:r>
    </w:p>
    <w:p w:rsidR="00155094" w:rsidRDefault="00155094" w:rsidP="00155094">
      <w:pPr>
        <w:jc w:val="both"/>
        <w:rPr>
          <w:rFonts w:eastAsiaTheme="minorEastAsia"/>
        </w:rPr>
      </w:pPr>
    </w:p>
    <w:p w:rsidR="00155094" w:rsidRDefault="00155094" w:rsidP="00155094">
      <w:pPr>
        <w:keepNext/>
        <w:jc w:val="center"/>
      </w:pPr>
      <w:r>
        <w:rPr>
          <w:noProof/>
          <w:lang w:eastAsia="fr-FR"/>
        </w:rPr>
        <w:lastRenderedPageBreak/>
        <w:drawing>
          <wp:inline distT="0" distB="0" distL="0" distR="0" wp14:anchorId="376C5CAF" wp14:editId="532C681C">
            <wp:extent cx="4572000" cy="2743200"/>
            <wp:effectExtent l="0" t="0" r="19050" b="190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5094" w:rsidRDefault="00155094" w:rsidP="00155094">
      <w:pPr>
        <w:pStyle w:val="Lgende"/>
        <w:jc w:val="center"/>
      </w:pPr>
      <w:r>
        <w:t xml:space="preserve">Figure </w:t>
      </w:r>
      <w:r w:rsidR="008F72D3">
        <w:fldChar w:fldCharType="begin"/>
      </w:r>
      <w:r w:rsidR="008F72D3">
        <w:instrText xml:space="preserve"> SEQ Figure \* ARABIC </w:instrText>
      </w:r>
      <w:r w:rsidR="008F72D3">
        <w:fldChar w:fldCharType="separate"/>
      </w:r>
      <w:r w:rsidR="00DA2B09">
        <w:rPr>
          <w:noProof/>
        </w:rPr>
        <w:t>13</w:t>
      </w:r>
      <w:r w:rsidR="008F72D3">
        <w:rPr>
          <w:noProof/>
        </w:rPr>
        <w:fldChar w:fldCharType="end"/>
      </w:r>
      <w:r>
        <w:t xml:space="preserve"> : nombre de parasitoïdes émergés par ferme et espèce de cochenille</w:t>
      </w:r>
      <w:r w:rsidR="00B80597">
        <w:t xml:space="preserve"> (les numéros de ferme correspondent aux autres graphiques, aucun échantillon n’a été réalisé sur la ferme 1 et une ferme supplémentaire a été intégré, la numéro 5)</w:t>
      </w:r>
    </w:p>
    <w:p w:rsidR="00B80597" w:rsidRPr="00B80597" w:rsidRDefault="00B80597" w:rsidP="00B80597">
      <w:pPr>
        <w:jc w:val="both"/>
        <w:rPr>
          <w:rFonts w:eastAsia="Calibri"/>
          <w:lang w:eastAsia="en-US"/>
        </w:rPr>
      </w:pPr>
      <w:r>
        <w:rPr>
          <w:rFonts w:eastAsia="Calibri"/>
          <w:lang w:eastAsia="en-US"/>
        </w:rPr>
        <w:t>Sur l’ensemble des fermes, deux espèces de cochenilles ont été recensées. Les populations de parasitoïdes sont très différentes d’une ferme à l’autre, ceci est dû au nombre inégal d’échantillon réalisé s</w:t>
      </w:r>
      <w:r w:rsidR="004137CF">
        <w:rPr>
          <w:rFonts w:eastAsia="Calibri"/>
          <w:lang w:eastAsia="en-US"/>
        </w:rPr>
        <w:t>ur les parcelles. Il semblerait que</w:t>
      </w:r>
      <w:r>
        <w:rPr>
          <w:rFonts w:eastAsia="Calibri"/>
          <w:lang w:eastAsia="en-US"/>
        </w:rPr>
        <w:t xml:space="preserve"> l’observation des parasitoïdes pourraient être un meilleur indicateur environnemental que les acariens sur clémentiniers. </w:t>
      </w:r>
      <w:r w:rsidR="004137CF">
        <w:rPr>
          <w:rFonts w:eastAsia="Calibri"/>
          <w:lang w:eastAsia="en-US"/>
        </w:rPr>
        <w:t>Mais le problème reste identique à celui rencontré avec les coccinelles, en 2013. La présence de ces auxiliaires est liée à leur proie.</w:t>
      </w:r>
    </w:p>
    <w:p w:rsidR="0040739B" w:rsidRPr="00077B2C" w:rsidRDefault="00A2087B" w:rsidP="00077B2C">
      <w:pPr>
        <w:pStyle w:val="Titre3"/>
        <w:numPr>
          <w:ilvl w:val="0"/>
          <w:numId w:val="33"/>
        </w:numPr>
        <w:rPr>
          <w:rFonts w:eastAsia="Calibri"/>
        </w:rPr>
      </w:pPr>
      <w:r w:rsidRPr="00077B2C">
        <w:rPr>
          <w:rFonts w:eastAsia="Calibri"/>
        </w:rPr>
        <w:br w:type="page"/>
      </w:r>
      <w:bookmarkStart w:id="26" w:name="_Toc446344577"/>
      <w:r w:rsidRPr="00077B2C">
        <w:rPr>
          <w:rFonts w:eastAsia="Calibri"/>
        </w:rPr>
        <w:lastRenderedPageBreak/>
        <w:t>Le kiwi</w:t>
      </w:r>
      <w:bookmarkEnd w:id="26"/>
    </w:p>
    <w:p w:rsidR="009B7EB1" w:rsidRDefault="00C932F3" w:rsidP="00AE2CF7">
      <w:pPr>
        <w:spacing w:line="276" w:lineRule="auto"/>
        <w:rPr>
          <w:rFonts w:eastAsia="Calibri" w:cs="Times New Roman"/>
          <w:b/>
          <w:sz w:val="24"/>
          <w:lang w:eastAsia="en-US"/>
        </w:rPr>
      </w:pPr>
      <w:r>
        <w:rPr>
          <w:rFonts w:eastAsia="Calibri" w:cs="Times New Roman"/>
          <w:b/>
          <w:sz w:val="24"/>
          <w:lang w:eastAsia="en-US"/>
        </w:rPr>
        <w:t>Données climatiques</w:t>
      </w:r>
      <w:r w:rsidR="004137CF">
        <w:rPr>
          <w:rFonts w:eastAsia="Calibri" w:cs="Times New Roman"/>
          <w:b/>
          <w:sz w:val="24"/>
          <w:lang w:eastAsia="en-US"/>
        </w:rPr>
        <w:t xml:space="preserve"> dans le secteur de San Giuliano.</w:t>
      </w:r>
    </w:p>
    <w:p w:rsidR="00491835" w:rsidRDefault="00491835" w:rsidP="00AE2CF7">
      <w:pPr>
        <w:keepNext/>
        <w:spacing w:line="276" w:lineRule="auto"/>
        <w:jc w:val="center"/>
      </w:pPr>
      <w:r>
        <w:rPr>
          <w:noProof/>
          <w:lang w:eastAsia="fr-FR"/>
        </w:rPr>
        <w:drawing>
          <wp:inline distT="0" distB="0" distL="0" distR="0" wp14:anchorId="37649AF5" wp14:editId="29996C37">
            <wp:extent cx="5758815" cy="2698794"/>
            <wp:effectExtent l="0" t="0" r="13335" b="2540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932F3" w:rsidRDefault="00491835" w:rsidP="00AE2CF7">
      <w:pPr>
        <w:pStyle w:val="Lgende"/>
        <w:spacing w:line="276" w:lineRule="auto"/>
        <w:jc w:val="center"/>
        <w:rPr>
          <w:b/>
          <w:sz w:val="24"/>
        </w:rPr>
      </w:pPr>
      <w:r>
        <w:t xml:space="preserve">Figure </w:t>
      </w:r>
      <w:r w:rsidR="008F72D3">
        <w:fldChar w:fldCharType="begin"/>
      </w:r>
      <w:r w:rsidR="008F72D3">
        <w:instrText xml:space="preserve"> SEQ Figure \* ARABIC </w:instrText>
      </w:r>
      <w:r w:rsidR="008F72D3">
        <w:fldChar w:fldCharType="separate"/>
      </w:r>
      <w:r w:rsidR="00DA2B09">
        <w:rPr>
          <w:noProof/>
        </w:rPr>
        <w:t>14</w:t>
      </w:r>
      <w:r w:rsidR="008F72D3">
        <w:rPr>
          <w:noProof/>
        </w:rPr>
        <w:fldChar w:fldCharType="end"/>
      </w:r>
      <w:r>
        <w:t xml:space="preserve"> : évolution des données météorologiques au cours de l'année</w:t>
      </w:r>
    </w:p>
    <w:p w:rsidR="00491835" w:rsidRPr="00B74876" w:rsidRDefault="00491835" w:rsidP="00AE2CF7">
      <w:pPr>
        <w:spacing w:line="276" w:lineRule="auto"/>
        <w:jc w:val="both"/>
        <w:rPr>
          <w:rFonts w:eastAsia="Calibri" w:cs="Times New Roman"/>
          <w:szCs w:val="22"/>
          <w:lang w:eastAsia="en-US"/>
        </w:rPr>
      </w:pPr>
      <w:r w:rsidRPr="00B74876">
        <w:rPr>
          <w:rFonts w:eastAsia="Calibri" w:cs="Times New Roman"/>
          <w:szCs w:val="22"/>
          <w:lang w:eastAsia="en-US"/>
        </w:rPr>
        <w:t>Les données climatiques proviennent de la station météorologique de l’INRA de San Giuliano située à 1 km des parcelles de kiwis de l’AREFLEC. Cette année s’est caractérisée par de fortes températures en été (au-dessus des normales de saison) et une pluviométrie assez faible. On remarque un épisode pluvieux important début octobre avec plus de 140 mm.</w:t>
      </w:r>
    </w:p>
    <w:p w:rsidR="004E5761" w:rsidRPr="00491835" w:rsidRDefault="004E5761" w:rsidP="00AE2CF7">
      <w:pPr>
        <w:spacing w:line="276" w:lineRule="auto"/>
        <w:jc w:val="both"/>
        <w:rPr>
          <w:rFonts w:eastAsia="Calibri" w:cs="Times New Roman"/>
          <w:sz w:val="24"/>
          <w:lang w:eastAsia="en-US"/>
        </w:rPr>
      </w:pPr>
    </w:p>
    <w:p w:rsidR="00F23B89" w:rsidRDefault="00B95F2A" w:rsidP="00AE2CF7">
      <w:pPr>
        <w:spacing w:line="276" w:lineRule="auto"/>
        <w:rPr>
          <w:rFonts w:eastAsia="Calibri" w:cs="Times New Roman"/>
          <w:szCs w:val="22"/>
          <w:lang w:eastAsia="en-US"/>
        </w:rPr>
      </w:pPr>
      <w:r>
        <w:rPr>
          <w:rFonts w:eastAsia="Calibri" w:cs="Times New Roman"/>
          <w:b/>
          <w:sz w:val="24"/>
          <w:lang w:eastAsia="en-US"/>
        </w:rPr>
        <w:t>Les traitements phytosanitaires</w:t>
      </w:r>
      <w:r w:rsidR="00491835" w:rsidRPr="00491835">
        <w:rPr>
          <w:rFonts w:eastAsia="Calibri" w:cs="Times New Roman"/>
          <w:szCs w:val="22"/>
          <w:lang w:eastAsia="en-US"/>
        </w:rPr>
        <w:t xml:space="preserve"> </w:t>
      </w:r>
    </w:p>
    <w:p w:rsidR="00491835" w:rsidRPr="00491835" w:rsidRDefault="00491835" w:rsidP="00AE2CF7">
      <w:pPr>
        <w:spacing w:line="276" w:lineRule="auto"/>
        <w:rPr>
          <w:rFonts w:eastAsia="Calibri" w:cs="Times New Roman"/>
          <w:szCs w:val="22"/>
          <w:lang w:eastAsia="en-US"/>
        </w:rPr>
      </w:pPr>
      <w:r w:rsidRPr="002E3ABA">
        <w:rPr>
          <w:rFonts w:eastAsia="Calibri" w:cs="Times New Roman"/>
          <w:szCs w:val="22"/>
          <w:lang w:eastAsia="en-US"/>
        </w:rPr>
        <w:t>Sur l’ensemble de la saison, les populations de ravageurs (</w:t>
      </w:r>
      <w:r w:rsidRPr="002E3ABA">
        <w:rPr>
          <w:rFonts w:eastAsia="Calibri" w:cs="Times New Roman"/>
          <w:i/>
          <w:szCs w:val="22"/>
          <w:lang w:eastAsia="en-US"/>
        </w:rPr>
        <w:t>M. pruinosa et P. pentagona</w:t>
      </w:r>
      <w:r w:rsidRPr="002E3ABA">
        <w:rPr>
          <w:rFonts w:eastAsia="Calibri" w:cs="Times New Roman"/>
          <w:szCs w:val="22"/>
          <w:lang w:eastAsia="en-US"/>
        </w:rPr>
        <w:t>) sont restées très faibles.</w:t>
      </w:r>
    </w:p>
    <w:p w:rsidR="00BD637C" w:rsidRDefault="00B95F2A" w:rsidP="00AE2CF7">
      <w:pPr>
        <w:suppressAutoHyphens w:val="0"/>
        <w:spacing w:after="200" w:line="276" w:lineRule="auto"/>
        <w:rPr>
          <w:rFonts w:eastAsia="Calibri" w:cs="Times New Roman"/>
          <w:color w:val="00B050"/>
          <w:szCs w:val="22"/>
          <w:lang w:eastAsia="en-US"/>
        </w:rPr>
      </w:pPr>
      <w:r w:rsidRPr="00B95F2A">
        <w:rPr>
          <w:noProof/>
          <w:szCs w:val="22"/>
          <w:lang w:eastAsia="fr-FR"/>
        </w:rPr>
        <mc:AlternateContent>
          <mc:Choice Requires="wps">
            <w:drawing>
              <wp:anchor distT="0" distB="0" distL="114300" distR="114300" simplePos="0" relativeHeight="251677696" behindDoc="0" locked="0" layoutInCell="1" allowOverlap="1" wp14:anchorId="7DD95132" wp14:editId="150CD57E">
                <wp:simplePos x="0" y="0"/>
                <wp:positionH relativeFrom="column">
                  <wp:posOffset>-14605</wp:posOffset>
                </wp:positionH>
                <wp:positionV relativeFrom="paragraph">
                  <wp:posOffset>328930</wp:posOffset>
                </wp:positionV>
                <wp:extent cx="6069330" cy="635"/>
                <wp:effectExtent l="0" t="0" r="7620" b="0"/>
                <wp:wrapTight wrapText="bothSides">
                  <wp:wrapPolygon edited="0">
                    <wp:start x="0" y="0"/>
                    <wp:lineTo x="0" y="20057"/>
                    <wp:lineTo x="21559" y="20057"/>
                    <wp:lineTo x="21559" y="0"/>
                    <wp:lineTo x="0" y="0"/>
                  </wp:wrapPolygon>
                </wp:wrapTight>
                <wp:docPr id="156" name="Zone de texte 156"/>
                <wp:cNvGraphicFramePr/>
                <a:graphic xmlns:a="http://schemas.openxmlformats.org/drawingml/2006/main">
                  <a:graphicData uri="http://schemas.microsoft.com/office/word/2010/wordprocessingShape">
                    <wps:wsp>
                      <wps:cNvSpPr txBox="1"/>
                      <wps:spPr>
                        <a:xfrm>
                          <a:off x="0" y="0"/>
                          <a:ext cx="6069330" cy="635"/>
                        </a:xfrm>
                        <a:prstGeom prst="rect">
                          <a:avLst/>
                        </a:prstGeom>
                        <a:solidFill>
                          <a:prstClr val="white"/>
                        </a:solidFill>
                        <a:ln>
                          <a:noFill/>
                        </a:ln>
                        <a:effectLst/>
                      </wps:spPr>
                      <wps:txbx>
                        <w:txbxContent>
                          <w:p w:rsidR="008D6BA9" w:rsidRPr="00C90CB9" w:rsidRDefault="008D6BA9" w:rsidP="00B95F2A">
                            <w:pPr>
                              <w:pStyle w:val="Lgende"/>
                              <w:jc w:val="center"/>
                              <w:rPr>
                                <w:rFonts w:cs="Arial"/>
                                <w:szCs w:val="24"/>
                                <w:lang w:eastAsia="ar-SA"/>
                              </w:rPr>
                            </w:pPr>
                            <w:r>
                              <w:t xml:space="preserve">Tableau </w:t>
                            </w:r>
                            <w:r w:rsidR="008F72D3">
                              <w:fldChar w:fldCharType="begin"/>
                            </w:r>
                            <w:r w:rsidR="008F72D3">
                              <w:instrText xml:space="preserve"> SEQ Tableau \* ARABIC </w:instrText>
                            </w:r>
                            <w:r w:rsidR="008F72D3">
                              <w:fldChar w:fldCharType="separate"/>
                            </w:r>
                            <w:r>
                              <w:rPr>
                                <w:noProof/>
                              </w:rPr>
                              <w:t>20</w:t>
                            </w:r>
                            <w:r w:rsidR="008F72D3">
                              <w:rPr>
                                <w:noProof/>
                              </w:rPr>
                              <w:fldChar w:fldCharType="end"/>
                            </w:r>
                            <w:r>
                              <w:t xml:space="preserve"> : itinéraires techniques appliqués dans la parcelle de kiwi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7DD95132" id="_x0000_t202" coordsize="21600,21600" o:spt="202" path="m,l,21600r21600,l21600,xe">
                <v:stroke joinstyle="miter"/>
                <v:path gradientshapeok="t" o:connecttype="rect"/>
              </v:shapetype>
              <v:shape id="Zone de texte 156" o:spid="_x0000_s1026" type="#_x0000_t202" style="position:absolute;margin-left:-1.15pt;margin-top:25.9pt;width:477.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" stroked="f">
                <v:textbox style="mso-fit-shape-to-text:t" inset="0,0,0,0">
                  <w:txbxContent>
                    <w:p w:rsidR="008D6BA9" w:rsidRPr="00C90CB9" w:rsidRDefault="008D6BA9" w:rsidP="00B95F2A">
                      <w:pPr>
                        <w:pStyle w:val="Lgende"/>
                        <w:jc w:val="center"/>
                        <w:rPr>
                          <w:rFonts w:cs="Arial"/>
                          <w:szCs w:val="24"/>
                          <w:lang w:eastAsia="ar-SA"/>
                        </w:rPr>
                      </w:pPr>
                      <w:r>
                        <w:t xml:space="preserve">Tableau </w:t>
                      </w:r>
                      <w:fldSimple w:instr=" SEQ Tableau \* ARABIC ">
                        <w:r>
                          <w:rPr>
                            <w:noProof/>
                          </w:rPr>
                          <w:t>20</w:t>
                        </w:r>
                      </w:fldSimple>
                      <w:r>
                        <w:t xml:space="preserve"> : itinéraires techniques appliqués dans la parcelle de kiwi 2004</w:t>
                      </w:r>
                    </w:p>
                  </w:txbxContent>
                </v:textbox>
                <w10:wrap type="tight"/>
              </v:shape>
            </w:pict>
          </mc:Fallback>
        </mc:AlternateContent>
      </w:r>
      <w:r w:rsidRPr="00B95F2A">
        <w:rPr>
          <w:rFonts w:eastAsia="Calibri"/>
          <w:noProof/>
          <w:szCs w:val="22"/>
          <w:lang w:eastAsia="fr-FR"/>
        </w:rPr>
        <w:drawing>
          <wp:anchor distT="0" distB="0" distL="114300" distR="114300" simplePos="0" relativeHeight="251675648" behindDoc="1" locked="0" layoutInCell="1" allowOverlap="1" wp14:anchorId="2866ECA9" wp14:editId="0F91D77B">
            <wp:simplePos x="0" y="0"/>
            <wp:positionH relativeFrom="column">
              <wp:posOffset>-14605</wp:posOffset>
            </wp:positionH>
            <wp:positionV relativeFrom="paragraph">
              <wp:posOffset>662305</wp:posOffset>
            </wp:positionV>
            <wp:extent cx="6069330" cy="1685925"/>
            <wp:effectExtent l="0" t="0" r="7620" b="9525"/>
            <wp:wrapTight wrapText="bothSides">
              <wp:wrapPolygon edited="0">
                <wp:start x="0" y="0"/>
                <wp:lineTo x="0" y="21478"/>
                <wp:lineTo x="21559" y="21478"/>
                <wp:lineTo x="21559" y="5125"/>
                <wp:lineTo x="21085" y="3905"/>
                <wp:lineTo x="21559" y="2929"/>
                <wp:lineTo x="21559" y="0"/>
                <wp:lineTo x="0" y="0"/>
              </wp:wrapPolygon>
            </wp:wrapTight>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93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F2A">
        <w:rPr>
          <w:rFonts w:eastAsia="Calibri" w:cs="Times New Roman"/>
          <w:color w:val="00B050"/>
          <w:szCs w:val="22"/>
          <w:lang w:eastAsia="en-US"/>
        </w:rPr>
        <w:t>Kiwi 2004</w:t>
      </w:r>
    </w:p>
    <w:p w:rsidR="004E5761" w:rsidRDefault="004E5761" w:rsidP="00AE2CF7">
      <w:pPr>
        <w:suppressAutoHyphens w:val="0"/>
        <w:spacing w:after="200" w:line="276" w:lineRule="auto"/>
        <w:jc w:val="both"/>
        <w:rPr>
          <w:rFonts w:eastAsia="Calibri" w:cs="Times New Roman"/>
          <w:szCs w:val="22"/>
          <w:lang w:eastAsia="en-US"/>
        </w:rPr>
      </w:pPr>
    </w:p>
    <w:p w:rsidR="004169C3" w:rsidRDefault="00641664"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Aucun traitement n’a été effectué dans les SdC 2 et 3</w:t>
      </w:r>
      <w:r w:rsidR="006C0F15">
        <w:rPr>
          <w:rFonts w:eastAsia="Calibri" w:cs="Times New Roman"/>
          <w:szCs w:val="22"/>
          <w:lang w:eastAsia="en-US"/>
        </w:rPr>
        <w:t xml:space="preserve"> et aucun insecticide dans le SdC 1</w:t>
      </w:r>
      <w:r>
        <w:rPr>
          <w:rFonts w:eastAsia="Calibri" w:cs="Times New Roman"/>
          <w:szCs w:val="22"/>
          <w:lang w:eastAsia="en-US"/>
        </w:rPr>
        <w:t xml:space="preserve">. </w:t>
      </w:r>
      <w:r w:rsidR="006C0F15">
        <w:rPr>
          <w:rFonts w:eastAsia="Calibri" w:cs="Times New Roman"/>
          <w:szCs w:val="22"/>
          <w:lang w:eastAsia="en-US"/>
        </w:rPr>
        <w:t xml:space="preserve">Les populations de Metcalfa et de </w:t>
      </w:r>
      <w:r w:rsidR="006C0F15" w:rsidRPr="006C0F15">
        <w:rPr>
          <w:rFonts w:eastAsia="Calibri" w:cs="Times New Roman"/>
          <w:i/>
          <w:szCs w:val="22"/>
          <w:lang w:eastAsia="en-US"/>
        </w:rPr>
        <w:t>P. pentagona</w:t>
      </w:r>
      <w:r w:rsidR="006C0F15">
        <w:rPr>
          <w:rFonts w:eastAsia="Calibri" w:cs="Times New Roman"/>
          <w:szCs w:val="22"/>
          <w:lang w:eastAsia="en-US"/>
        </w:rPr>
        <w:t xml:space="preserve"> n’ont jamais dépassé le seuil de nuisibilité défini dans les règles de décisions. P</w:t>
      </w:r>
      <w:r w:rsidR="004137CF">
        <w:rPr>
          <w:rFonts w:eastAsia="Calibri" w:cs="Times New Roman"/>
          <w:szCs w:val="22"/>
          <w:lang w:eastAsia="en-US"/>
        </w:rPr>
        <w:t>ar ailleurs, aucun lâcher de Rhy</w:t>
      </w:r>
      <w:r w:rsidR="006C0F15">
        <w:rPr>
          <w:rFonts w:eastAsia="Calibri" w:cs="Times New Roman"/>
          <w:szCs w:val="22"/>
          <w:lang w:eastAsia="en-US"/>
        </w:rPr>
        <w:t xml:space="preserve">zobius n’a été réalisé cette année. Dans le SdC 1, </w:t>
      </w:r>
      <w:r w:rsidR="006C0F15">
        <w:rPr>
          <w:rFonts w:eastAsia="Calibri" w:cs="Times New Roman"/>
          <w:szCs w:val="22"/>
          <w:lang w:eastAsia="en-US"/>
        </w:rPr>
        <w:lastRenderedPageBreak/>
        <w:t>quatre herbicides ont été appliqués</w:t>
      </w:r>
      <w:r w:rsidR="00213C65">
        <w:rPr>
          <w:rFonts w:eastAsia="Calibri" w:cs="Times New Roman"/>
          <w:szCs w:val="22"/>
          <w:lang w:eastAsia="en-US"/>
        </w:rPr>
        <w:t> : un anti-germinatif, un systémique et deux défoliants. Chaque application a été réalisée en fonction de la période et/ou de la hauteur des adventices.</w:t>
      </w:r>
    </w:p>
    <w:p w:rsidR="004169C3" w:rsidRDefault="004169C3" w:rsidP="00AE2CF7">
      <w:pPr>
        <w:pStyle w:val="Lgende"/>
        <w:keepNext/>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21</w:t>
      </w:r>
      <w:r w:rsidR="008F72D3">
        <w:rPr>
          <w:noProof/>
        </w:rPr>
        <w:fldChar w:fldCharType="end"/>
      </w:r>
      <w:r>
        <w:t xml:space="preserve"> : nombre de passage effectué par type d'outils pour la gestion de l'enherbement (rang et inter-rang)</w:t>
      </w:r>
    </w:p>
    <w:tbl>
      <w:tblPr>
        <w:tblStyle w:val="Ombrageclair"/>
        <w:tblW w:w="0" w:type="auto"/>
        <w:jc w:val="center"/>
        <w:tblLook w:val="04A0" w:firstRow="1" w:lastRow="0" w:firstColumn="1" w:lastColumn="0" w:noHBand="0" w:noVBand="1"/>
      </w:tblPr>
      <w:tblGrid>
        <w:gridCol w:w="1312"/>
        <w:gridCol w:w="2552"/>
        <w:gridCol w:w="2693"/>
        <w:gridCol w:w="2584"/>
      </w:tblGrid>
      <w:tr w:rsidR="004169C3" w:rsidRPr="004E5761" w:rsidTr="004E5761">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4169C3" w:rsidRPr="004E5761" w:rsidRDefault="004169C3"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SdC</w:t>
            </w:r>
          </w:p>
        </w:tc>
        <w:tc>
          <w:tcPr>
            <w:tcW w:w="2552" w:type="dxa"/>
            <w:vAlign w:val="center"/>
          </w:tcPr>
          <w:p w:rsidR="004169C3" w:rsidRPr="004E5761" w:rsidRDefault="004169C3" w:rsidP="00AE2CF7">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Nombre de passage Herbanet</w:t>
            </w:r>
            <w:r w:rsidRPr="004E5761">
              <w:rPr>
                <w:rFonts w:eastAsia="Calibri" w:cs="Times New Roman"/>
                <w:b w:val="0"/>
                <w:szCs w:val="22"/>
                <w:vertAlign w:val="superscript"/>
                <w:lang w:eastAsia="en-US"/>
              </w:rPr>
              <w:t>®</w:t>
            </w:r>
          </w:p>
        </w:tc>
        <w:tc>
          <w:tcPr>
            <w:tcW w:w="2693" w:type="dxa"/>
            <w:vAlign w:val="center"/>
          </w:tcPr>
          <w:p w:rsidR="004169C3" w:rsidRPr="004E5761" w:rsidRDefault="004169C3" w:rsidP="00AE2CF7">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Nombre de passage Faucheuse</w:t>
            </w:r>
          </w:p>
        </w:tc>
        <w:tc>
          <w:tcPr>
            <w:tcW w:w="2584" w:type="dxa"/>
            <w:vAlign w:val="center"/>
          </w:tcPr>
          <w:p w:rsidR="004169C3" w:rsidRPr="004E5761" w:rsidRDefault="004169C3" w:rsidP="00AE2CF7">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Nombre de passage Broyeur</w:t>
            </w:r>
          </w:p>
        </w:tc>
      </w:tr>
      <w:tr w:rsidR="004169C3" w:rsidRPr="004E5761" w:rsidTr="004E5761">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4169C3" w:rsidRPr="004E5761" w:rsidRDefault="004169C3"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1</w:t>
            </w:r>
          </w:p>
        </w:tc>
        <w:tc>
          <w:tcPr>
            <w:tcW w:w="2552" w:type="dxa"/>
            <w:vAlign w:val="center"/>
          </w:tcPr>
          <w:p w:rsidR="004169C3" w:rsidRPr="004E5761" w:rsidRDefault="004169C3"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0</w:t>
            </w:r>
          </w:p>
        </w:tc>
        <w:tc>
          <w:tcPr>
            <w:tcW w:w="2693" w:type="dxa"/>
            <w:vAlign w:val="center"/>
          </w:tcPr>
          <w:p w:rsidR="004169C3" w:rsidRPr="004E5761" w:rsidRDefault="004169C3"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5</w:t>
            </w:r>
          </w:p>
        </w:tc>
        <w:tc>
          <w:tcPr>
            <w:tcW w:w="2584" w:type="dxa"/>
            <w:vAlign w:val="center"/>
          </w:tcPr>
          <w:p w:rsidR="004169C3" w:rsidRPr="004E5761" w:rsidRDefault="004169C3"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0</w:t>
            </w:r>
          </w:p>
        </w:tc>
      </w:tr>
      <w:tr w:rsidR="004169C3" w:rsidRPr="004E5761" w:rsidTr="004E5761">
        <w:trPr>
          <w:trHeight w:val="263"/>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4169C3" w:rsidRPr="004E5761" w:rsidRDefault="004169C3"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2</w:t>
            </w:r>
          </w:p>
        </w:tc>
        <w:tc>
          <w:tcPr>
            <w:tcW w:w="2552" w:type="dxa"/>
            <w:vAlign w:val="center"/>
          </w:tcPr>
          <w:p w:rsidR="004169C3" w:rsidRPr="004E5761" w:rsidRDefault="004169C3" w:rsidP="00AE2CF7">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2</w:t>
            </w:r>
          </w:p>
        </w:tc>
        <w:tc>
          <w:tcPr>
            <w:tcW w:w="2693" w:type="dxa"/>
            <w:vAlign w:val="center"/>
          </w:tcPr>
          <w:p w:rsidR="004169C3" w:rsidRPr="004E5761" w:rsidRDefault="004169C3" w:rsidP="00AE2CF7">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5</w:t>
            </w:r>
          </w:p>
        </w:tc>
        <w:tc>
          <w:tcPr>
            <w:tcW w:w="2584" w:type="dxa"/>
            <w:vAlign w:val="center"/>
          </w:tcPr>
          <w:p w:rsidR="004169C3" w:rsidRPr="004E5761" w:rsidRDefault="004169C3" w:rsidP="00AE2CF7">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3</w:t>
            </w:r>
          </w:p>
        </w:tc>
      </w:tr>
      <w:tr w:rsidR="004169C3" w:rsidRPr="004E5761" w:rsidTr="004E5761">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312" w:type="dxa"/>
            <w:vAlign w:val="center"/>
          </w:tcPr>
          <w:p w:rsidR="004169C3" w:rsidRPr="004E5761" w:rsidRDefault="004169C3"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3</w:t>
            </w:r>
          </w:p>
        </w:tc>
        <w:tc>
          <w:tcPr>
            <w:tcW w:w="2552" w:type="dxa"/>
            <w:vAlign w:val="center"/>
          </w:tcPr>
          <w:p w:rsidR="004169C3" w:rsidRPr="004E5761" w:rsidRDefault="004169C3"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3</w:t>
            </w:r>
          </w:p>
        </w:tc>
        <w:tc>
          <w:tcPr>
            <w:tcW w:w="2693" w:type="dxa"/>
            <w:vAlign w:val="center"/>
          </w:tcPr>
          <w:p w:rsidR="004169C3" w:rsidRPr="004E5761" w:rsidRDefault="004169C3"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5</w:t>
            </w:r>
          </w:p>
        </w:tc>
        <w:tc>
          <w:tcPr>
            <w:tcW w:w="2584" w:type="dxa"/>
            <w:vAlign w:val="center"/>
          </w:tcPr>
          <w:p w:rsidR="004169C3" w:rsidRPr="004E5761" w:rsidRDefault="004169C3"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sidRPr="004E5761">
              <w:rPr>
                <w:rFonts w:eastAsia="Calibri" w:cs="Times New Roman"/>
                <w:szCs w:val="22"/>
                <w:lang w:eastAsia="en-US"/>
              </w:rPr>
              <w:t>3</w:t>
            </w:r>
          </w:p>
        </w:tc>
      </w:tr>
    </w:tbl>
    <w:p w:rsidR="00F23B89" w:rsidRDefault="00F23B89" w:rsidP="00AE2CF7">
      <w:pPr>
        <w:suppressAutoHyphens w:val="0"/>
        <w:spacing w:after="200" w:line="276" w:lineRule="auto"/>
        <w:jc w:val="both"/>
        <w:rPr>
          <w:rFonts w:eastAsia="Calibri" w:cs="Times New Roman"/>
          <w:szCs w:val="22"/>
          <w:lang w:eastAsia="en-US"/>
        </w:rPr>
      </w:pPr>
    </w:p>
    <w:p w:rsidR="00213C65" w:rsidRPr="0001405D" w:rsidRDefault="0001405D"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Le passage des outils est déclenché en fonction de la hauteur de l’herbe. En 2014, un anti-germinatif avait été appliqué dans le SdC 2 ce qui explique que « l’Herbanet</w:t>
      </w:r>
      <w:r w:rsidRPr="0001405D">
        <w:rPr>
          <w:rFonts w:eastAsia="Calibri" w:cs="Times New Roman"/>
          <w:szCs w:val="22"/>
          <w:vertAlign w:val="superscript"/>
          <w:lang w:eastAsia="en-US"/>
        </w:rPr>
        <w:t>®</w:t>
      </w:r>
      <w:r>
        <w:rPr>
          <w:rFonts w:eastAsia="Calibri" w:cs="Times New Roman"/>
          <w:szCs w:val="22"/>
          <w:lang w:eastAsia="en-US"/>
        </w:rPr>
        <w:t> »</w:t>
      </w:r>
      <w:r w:rsidR="00213C65">
        <w:rPr>
          <w:rFonts w:eastAsia="Calibri" w:cs="Times New Roman"/>
          <w:szCs w:val="22"/>
          <w:lang w:eastAsia="en-US"/>
        </w:rPr>
        <w:t xml:space="preserve"> </w:t>
      </w:r>
      <w:r>
        <w:rPr>
          <w:rFonts w:eastAsia="Calibri" w:cs="Times New Roman"/>
          <w:szCs w:val="22"/>
          <w:lang w:eastAsia="en-US"/>
        </w:rPr>
        <w:t xml:space="preserve">ait été passé une fois de moins cette année. </w:t>
      </w:r>
      <w:r w:rsidR="00213C65">
        <w:rPr>
          <w:rFonts w:eastAsia="Calibri" w:cs="Times New Roman"/>
          <w:szCs w:val="22"/>
          <w:lang w:eastAsia="en-US"/>
        </w:rPr>
        <w:t xml:space="preserve">Le nombre de passages dans les SdC 2 et 3 reste comparable au nombre de passages de désherbants dans le SdC 1. </w:t>
      </w:r>
    </w:p>
    <w:p w:rsidR="00B95F2A" w:rsidRDefault="00B95F2A" w:rsidP="00AE2CF7">
      <w:pPr>
        <w:suppressAutoHyphens w:val="0"/>
        <w:spacing w:after="200" w:line="276" w:lineRule="auto"/>
        <w:jc w:val="both"/>
        <w:rPr>
          <w:rFonts w:eastAsia="Calibri" w:cs="Times New Roman"/>
          <w:color w:val="00B050"/>
          <w:szCs w:val="22"/>
          <w:lang w:eastAsia="en-US"/>
        </w:rPr>
      </w:pPr>
      <w:r w:rsidRPr="00B95F2A">
        <w:rPr>
          <w:rFonts w:eastAsia="Calibri" w:cs="Times New Roman"/>
          <w:color w:val="00B050"/>
          <w:szCs w:val="22"/>
          <w:lang w:eastAsia="en-US"/>
        </w:rPr>
        <w:t>Kiwi 2012</w:t>
      </w:r>
    </w:p>
    <w:p w:rsidR="00B95F2A" w:rsidRDefault="00B95F2A" w:rsidP="00AE2CF7">
      <w:pPr>
        <w:pStyle w:val="Lgende"/>
        <w:keepNext/>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22</w:t>
      </w:r>
      <w:r w:rsidR="008F72D3">
        <w:rPr>
          <w:noProof/>
        </w:rPr>
        <w:fldChar w:fldCharType="end"/>
      </w:r>
      <w:r>
        <w:t xml:space="preserve"> : itinéraire</w:t>
      </w:r>
      <w:r w:rsidR="004169C3">
        <w:t>s</w:t>
      </w:r>
      <w:r>
        <w:t xml:space="preserve"> technique</w:t>
      </w:r>
      <w:r w:rsidR="004169C3">
        <w:t>s appliqués</w:t>
      </w:r>
      <w:r>
        <w:t xml:space="preserve"> dans la parcelle de kiwi 2012</w:t>
      </w:r>
    </w:p>
    <w:p w:rsidR="00B95F2A" w:rsidRPr="00B95F2A" w:rsidRDefault="00B95F2A" w:rsidP="00AE2CF7">
      <w:pPr>
        <w:suppressAutoHyphens w:val="0"/>
        <w:spacing w:after="200" w:line="276" w:lineRule="auto"/>
        <w:jc w:val="both"/>
        <w:rPr>
          <w:rFonts w:eastAsia="Calibri" w:cs="Times New Roman"/>
          <w:color w:val="00B050"/>
          <w:sz w:val="24"/>
          <w:lang w:eastAsia="en-US"/>
        </w:rPr>
      </w:pPr>
      <w:r w:rsidRPr="00B95F2A">
        <w:rPr>
          <w:rFonts w:eastAsia="Calibri"/>
          <w:noProof/>
          <w:lang w:eastAsia="fr-FR"/>
        </w:rPr>
        <w:drawing>
          <wp:inline distT="0" distB="0" distL="0" distR="0" wp14:anchorId="6904331E" wp14:editId="6129F0E5">
            <wp:extent cx="6115050" cy="1698972"/>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4278" cy="1698758"/>
                    </a:xfrm>
                    <a:prstGeom prst="rect">
                      <a:avLst/>
                    </a:prstGeom>
                    <a:noFill/>
                    <a:ln>
                      <a:noFill/>
                    </a:ln>
                  </pic:spPr>
                </pic:pic>
              </a:graphicData>
            </a:graphic>
          </wp:inline>
        </w:drawing>
      </w:r>
    </w:p>
    <w:p w:rsidR="00B95F2A" w:rsidRPr="004A771B" w:rsidRDefault="004169C3" w:rsidP="00AE2CF7">
      <w:pPr>
        <w:suppressAutoHyphens w:val="0"/>
        <w:spacing w:after="200" w:line="276" w:lineRule="auto"/>
        <w:jc w:val="both"/>
        <w:rPr>
          <w:rFonts w:eastAsia="Calibri" w:cs="Times New Roman"/>
          <w:szCs w:val="22"/>
          <w:lang w:eastAsia="en-US"/>
        </w:rPr>
      </w:pPr>
      <w:r w:rsidRPr="004A771B">
        <w:rPr>
          <w:rFonts w:eastAsia="Calibri" w:cs="Times New Roman"/>
          <w:szCs w:val="22"/>
          <w:lang w:eastAsia="en-US"/>
        </w:rPr>
        <w:t>Les itinéraires techniques sont les mêmes que dans la parcelle des kiwi</w:t>
      </w:r>
      <w:r w:rsidR="00471CA5" w:rsidRPr="004A771B">
        <w:rPr>
          <w:rFonts w:eastAsia="Calibri" w:cs="Times New Roman"/>
          <w:szCs w:val="22"/>
          <w:lang w:eastAsia="en-US"/>
        </w:rPr>
        <w:t>s</w:t>
      </w:r>
      <w:r w:rsidRPr="004A771B">
        <w:rPr>
          <w:rFonts w:eastAsia="Calibri" w:cs="Times New Roman"/>
          <w:szCs w:val="22"/>
          <w:lang w:eastAsia="en-US"/>
        </w:rPr>
        <w:t xml:space="preserve"> 2004.</w:t>
      </w:r>
    </w:p>
    <w:p w:rsidR="0001405D" w:rsidRDefault="0001405D" w:rsidP="00AE2CF7">
      <w:pPr>
        <w:pStyle w:val="Lgende"/>
        <w:keepNext/>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23</w:t>
      </w:r>
      <w:r w:rsidR="008F72D3">
        <w:rPr>
          <w:noProof/>
        </w:rPr>
        <w:fldChar w:fldCharType="end"/>
      </w:r>
      <w:r>
        <w:t xml:space="preserve"> : nombre de passage </w:t>
      </w:r>
      <w:r w:rsidR="00471CA5">
        <w:t>effectué par type d'outil</w:t>
      </w:r>
      <w:r>
        <w:t xml:space="preserve"> pour la gestion de l'enherbement (rang et inter-rang)</w:t>
      </w:r>
    </w:p>
    <w:tbl>
      <w:tblPr>
        <w:tblStyle w:val="Ombrageclair"/>
        <w:tblW w:w="9677" w:type="dxa"/>
        <w:tblLook w:val="04A0" w:firstRow="1" w:lastRow="0" w:firstColumn="1" w:lastColumn="0" w:noHBand="0" w:noVBand="1"/>
      </w:tblPr>
      <w:tblGrid>
        <w:gridCol w:w="2419"/>
        <w:gridCol w:w="2419"/>
        <w:gridCol w:w="2419"/>
        <w:gridCol w:w="2420"/>
      </w:tblGrid>
      <w:tr w:rsidR="0001405D" w:rsidTr="008D657D">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419" w:type="dxa"/>
            <w:vAlign w:val="center"/>
          </w:tcPr>
          <w:p w:rsidR="0001405D" w:rsidRPr="004E5761" w:rsidRDefault="0001405D"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SdC</w:t>
            </w:r>
          </w:p>
        </w:tc>
        <w:tc>
          <w:tcPr>
            <w:tcW w:w="2419" w:type="dxa"/>
            <w:vAlign w:val="center"/>
          </w:tcPr>
          <w:p w:rsidR="0001405D" w:rsidRPr="004E5761" w:rsidRDefault="0001405D" w:rsidP="00AE2CF7">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Nombre de passage Herbanet</w:t>
            </w:r>
            <w:r w:rsidRPr="004E5761">
              <w:rPr>
                <w:rFonts w:eastAsia="Calibri" w:cs="Times New Roman"/>
                <w:b w:val="0"/>
                <w:szCs w:val="22"/>
                <w:vertAlign w:val="superscript"/>
                <w:lang w:eastAsia="en-US"/>
              </w:rPr>
              <w:t>®</w:t>
            </w:r>
          </w:p>
        </w:tc>
        <w:tc>
          <w:tcPr>
            <w:tcW w:w="2419" w:type="dxa"/>
            <w:vAlign w:val="center"/>
          </w:tcPr>
          <w:p w:rsidR="0001405D" w:rsidRPr="004E5761" w:rsidRDefault="0001405D" w:rsidP="00AE2CF7">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Nombre de passage Faucheuse</w:t>
            </w:r>
          </w:p>
        </w:tc>
        <w:tc>
          <w:tcPr>
            <w:tcW w:w="2420" w:type="dxa"/>
            <w:vAlign w:val="center"/>
          </w:tcPr>
          <w:p w:rsidR="0001405D" w:rsidRPr="004E5761" w:rsidRDefault="0001405D" w:rsidP="00AE2CF7">
            <w:pPr>
              <w:suppressAutoHyphens w:val="0"/>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Cs w:val="22"/>
                <w:lang w:eastAsia="en-US"/>
              </w:rPr>
            </w:pPr>
            <w:r w:rsidRPr="004E5761">
              <w:rPr>
                <w:rFonts w:eastAsia="Calibri" w:cs="Times New Roman"/>
                <w:b w:val="0"/>
                <w:szCs w:val="22"/>
                <w:lang w:eastAsia="en-US"/>
              </w:rPr>
              <w:t>Nombre de passage Broyeur</w:t>
            </w:r>
          </w:p>
        </w:tc>
      </w:tr>
      <w:tr w:rsidR="0001405D" w:rsidTr="008D657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19" w:type="dxa"/>
            <w:vAlign w:val="center"/>
          </w:tcPr>
          <w:p w:rsidR="0001405D" w:rsidRPr="004E5761" w:rsidRDefault="0001405D"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1</w:t>
            </w:r>
          </w:p>
        </w:tc>
        <w:tc>
          <w:tcPr>
            <w:tcW w:w="2419" w:type="dxa"/>
            <w:vAlign w:val="center"/>
          </w:tcPr>
          <w:p w:rsidR="0001405D" w:rsidRDefault="0001405D"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0</w:t>
            </w:r>
          </w:p>
        </w:tc>
        <w:tc>
          <w:tcPr>
            <w:tcW w:w="2419" w:type="dxa"/>
            <w:vAlign w:val="center"/>
          </w:tcPr>
          <w:p w:rsidR="0001405D" w:rsidRDefault="00471CA5"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6</w:t>
            </w:r>
          </w:p>
        </w:tc>
        <w:tc>
          <w:tcPr>
            <w:tcW w:w="2420" w:type="dxa"/>
            <w:vAlign w:val="center"/>
          </w:tcPr>
          <w:p w:rsidR="0001405D" w:rsidRDefault="0001405D"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0</w:t>
            </w:r>
          </w:p>
        </w:tc>
      </w:tr>
      <w:tr w:rsidR="0001405D" w:rsidTr="008D657D">
        <w:trPr>
          <w:trHeight w:val="307"/>
        </w:trPr>
        <w:tc>
          <w:tcPr>
            <w:cnfStyle w:val="001000000000" w:firstRow="0" w:lastRow="0" w:firstColumn="1" w:lastColumn="0" w:oddVBand="0" w:evenVBand="0" w:oddHBand="0" w:evenHBand="0" w:firstRowFirstColumn="0" w:firstRowLastColumn="0" w:lastRowFirstColumn="0" w:lastRowLastColumn="0"/>
            <w:tcW w:w="2419" w:type="dxa"/>
            <w:vAlign w:val="center"/>
          </w:tcPr>
          <w:p w:rsidR="0001405D" w:rsidRPr="004E5761" w:rsidRDefault="0001405D"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2</w:t>
            </w:r>
          </w:p>
        </w:tc>
        <w:tc>
          <w:tcPr>
            <w:tcW w:w="2419" w:type="dxa"/>
            <w:vAlign w:val="center"/>
          </w:tcPr>
          <w:p w:rsidR="0001405D" w:rsidRDefault="00471CA5" w:rsidP="00AE2CF7">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3</w:t>
            </w:r>
          </w:p>
        </w:tc>
        <w:tc>
          <w:tcPr>
            <w:tcW w:w="2419" w:type="dxa"/>
            <w:vAlign w:val="center"/>
          </w:tcPr>
          <w:p w:rsidR="0001405D" w:rsidRDefault="00471CA5" w:rsidP="00AE2CF7">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c>
          <w:tcPr>
            <w:tcW w:w="2420" w:type="dxa"/>
            <w:vAlign w:val="center"/>
          </w:tcPr>
          <w:p w:rsidR="0001405D" w:rsidRDefault="0001405D" w:rsidP="00AE2CF7">
            <w:pPr>
              <w:suppressAutoHyphens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3</w:t>
            </w:r>
          </w:p>
        </w:tc>
      </w:tr>
      <w:tr w:rsidR="0001405D" w:rsidTr="008D657D">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419" w:type="dxa"/>
            <w:vAlign w:val="center"/>
          </w:tcPr>
          <w:p w:rsidR="0001405D" w:rsidRPr="004E5761" w:rsidRDefault="0001405D" w:rsidP="00AE2CF7">
            <w:pPr>
              <w:suppressAutoHyphens w:val="0"/>
              <w:spacing w:after="200" w:line="276" w:lineRule="auto"/>
              <w:jc w:val="center"/>
              <w:rPr>
                <w:rFonts w:eastAsia="Calibri" w:cs="Times New Roman"/>
                <w:b w:val="0"/>
                <w:szCs w:val="22"/>
                <w:lang w:eastAsia="en-US"/>
              </w:rPr>
            </w:pPr>
            <w:r w:rsidRPr="004E5761">
              <w:rPr>
                <w:rFonts w:eastAsia="Calibri" w:cs="Times New Roman"/>
                <w:b w:val="0"/>
                <w:szCs w:val="22"/>
                <w:lang w:eastAsia="en-US"/>
              </w:rPr>
              <w:t>3</w:t>
            </w:r>
          </w:p>
        </w:tc>
        <w:tc>
          <w:tcPr>
            <w:tcW w:w="2419" w:type="dxa"/>
            <w:vAlign w:val="center"/>
          </w:tcPr>
          <w:p w:rsidR="0001405D" w:rsidRDefault="0001405D"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3</w:t>
            </w:r>
          </w:p>
        </w:tc>
        <w:tc>
          <w:tcPr>
            <w:tcW w:w="2419" w:type="dxa"/>
            <w:vAlign w:val="center"/>
          </w:tcPr>
          <w:p w:rsidR="0001405D" w:rsidRDefault="00471CA5"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7</w:t>
            </w:r>
          </w:p>
        </w:tc>
        <w:tc>
          <w:tcPr>
            <w:tcW w:w="2420" w:type="dxa"/>
            <w:vAlign w:val="center"/>
          </w:tcPr>
          <w:p w:rsidR="0001405D" w:rsidRDefault="0001405D" w:rsidP="00AE2CF7">
            <w:pPr>
              <w:suppressAutoHyphens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2"/>
                <w:lang w:eastAsia="en-US"/>
              </w:rPr>
            </w:pPr>
            <w:r>
              <w:rPr>
                <w:rFonts w:eastAsia="Calibri" w:cs="Times New Roman"/>
                <w:szCs w:val="22"/>
                <w:lang w:eastAsia="en-US"/>
              </w:rPr>
              <w:t>3</w:t>
            </w:r>
          </w:p>
        </w:tc>
      </w:tr>
    </w:tbl>
    <w:p w:rsidR="00F23B89" w:rsidRDefault="00F23B89" w:rsidP="00AE2CF7">
      <w:pPr>
        <w:suppressAutoHyphens w:val="0"/>
        <w:spacing w:after="200" w:line="276" w:lineRule="auto"/>
        <w:jc w:val="both"/>
        <w:rPr>
          <w:rFonts w:eastAsia="Calibri" w:cs="Times New Roman"/>
          <w:sz w:val="24"/>
          <w:lang w:eastAsia="en-US"/>
        </w:rPr>
      </w:pPr>
    </w:p>
    <w:p w:rsidR="005C51DD" w:rsidRPr="00AE2CF7" w:rsidRDefault="00213C65" w:rsidP="00AE2CF7">
      <w:pPr>
        <w:suppressAutoHyphens w:val="0"/>
        <w:spacing w:after="200" w:line="276" w:lineRule="auto"/>
        <w:jc w:val="both"/>
        <w:rPr>
          <w:rFonts w:eastAsia="Calibri" w:cs="Times New Roman"/>
          <w:szCs w:val="22"/>
          <w:lang w:eastAsia="en-US"/>
        </w:rPr>
      </w:pPr>
      <w:r w:rsidRPr="004A771B">
        <w:rPr>
          <w:rFonts w:eastAsia="Calibri" w:cs="Times New Roman"/>
          <w:szCs w:val="22"/>
          <w:lang w:eastAsia="en-US"/>
        </w:rPr>
        <w:t>Contrairement à la parcelle de kiwi 2004, le même nombre de passage de « l’Herbanet</w:t>
      </w:r>
      <w:r w:rsidRPr="004A771B">
        <w:rPr>
          <w:rFonts w:eastAsia="Calibri" w:cs="Times New Roman"/>
          <w:szCs w:val="22"/>
          <w:vertAlign w:val="superscript"/>
          <w:lang w:eastAsia="en-US"/>
        </w:rPr>
        <w:t>®</w:t>
      </w:r>
      <w:r w:rsidRPr="004A771B">
        <w:rPr>
          <w:rFonts w:eastAsia="Calibri" w:cs="Times New Roman"/>
          <w:szCs w:val="22"/>
          <w:lang w:eastAsia="en-US"/>
        </w:rPr>
        <w:t> » a été réalisé dans les SdC 2 et 3. De plus, un nombre plus important de passage de faucheuse a dû être fa</w:t>
      </w:r>
      <w:r w:rsidR="00FE27B9">
        <w:rPr>
          <w:rFonts w:eastAsia="Calibri" w:cs="Times New Roman"/>
          <w:szCs w:val="22"/>
          <w:lang w:eastAsia="en-US"/>
        </w:rPr>
        <w:t>it. Ceci provient du fait que les arbres de cette</w:t>
      </w:r>
      <w:r w:rsidRPr="004A771B">
        <w:rPr>
          <w:rFonts w:eastAsia="Calibri" w:cs="Times New Roman"/>
          <w:szCs w:val="22"/>
          <w:lang w:eastAsia="en-US"/>
        </w:rPr>
        <w:t xml:space="preserve"> parcelle étant plus jeune</w:t>
      </w:r>
      <w:r w:rsidR="00FE27B9">
        <w:rPr>
          <w:rFonts w:eastAsia="Calibri" w:cs="Times New Roman"/>
          <w:szCs w:val="22"/>
          <w:lang w:eastAsia="en-US"/>
        </w:rPr>
        <w:t>s</w:t>
      </w:r>
      <w:r w:rsidRPr="004A771B">
        <w:rPr>
          <w:rFonts w:eastAsia="Calibri" w:cs="Times New Roman"/>
          <w:szCs w:val="22"/>
          <w:lang w:eastAsia="en-US"/>
        </w:rPr>
        <w:t>, l</w:t>
      </w:r>
      <w:r w:rsidR="00FE27B9">
        <w:rPr>
          <w:rFonts w:eastAsia="Calibri" w:cs="Times New Roman"/>
          <w:szCs w:val="22"/>
          <w:lang w:eastAsia="en-US"/>
        </w:rPr>
        <w:t>eur ombre portée ne limite pas la croissance des adventices.</w:t>
      </w:r>
    </w:p>
    <w:p w:rsidR="0040739B" w:rsidRDefault="0040739B" w:rsidP="00AE2CF7">
      <w:pPr>
        <w:suppressAutoHyphens w:val="0"/>
        <w:spacing w:after="200" w:line="276" w:lineRule="auto"/>
        <w:jc w:val="both"/>
        <w:rPr>
          <w:rFonts w:eastAsia="Calibri" w:cs="Times New Roman"/>
          <w:b/>
          <w:sz w:val="24"/>
          <w:lang w:eastAsia="en-US"/>
        </w:rPr>
      </w:pPr>
      <w:r w:rsidRPr="005F070D">
        <w:rPr>
          <w:rFonts w:eastAsia="Calibri" w:cs="Times New Roman"/>
          <w:b/>
          <w:sz w:val="24"/>
          <w:lang w:eastAsia="en-US"/>
        </w:rPr>
        <w:lastRenderedPageBreak/>
        <w:t>Les IFT</w:t>
      </w:r>
    </w:p>
    <w:p w:rsidR="00213C65" w:rsidRPr="00213C65" w:rsidRDefault="00213C65" w:rsidP="00AE2CF7">
      <w:pPr>
        <w:suppressAutoHyphens w:val="0"/>
        <w:spacing w:after="200" w:line="276" w:lineRule="auto"/>
        <w:jc w:val="both"/>
        <w:rPr>
          <w:rFonts w:eastAsia="Calibri" w:cs="Times New Roman"/>
          <w:color w:val="00B050"/>
          <w:szCs w:val="22"/>
          <w:lang w:eastAsia="en-US"/>
        </w:rPr>
      </w:pPr>
      <w:r w:rsidRPr="00213C65">
        <w:rPr>
          <w:rFonts w:eastAsia="Calibri" w:cs="Times New Roman"/>
          <w:color w:val="00B050"/>
          <w:szCs w:val="22"/>
          <w:lang w:eastAsia="en-US"/>
        </w:rPr>
        <w:t>Kiwi 2004</w:t>
      </w:r>
    </w:p>
    <w:tbl>
      <w:tblPr>
        <w:tblpPr w:leftFromText="141" w:rightFromText="141" w:vertAnchor="text" w:horzAnchor="margin" w:tblpXSpec="center" w:tblpY="532"/>
        <w:tblW w:w="9537" w:type="dxa"/>
        <w:tblBorders>
          <w:top w:val="single" w:sz="8" w:space="0" w:color="9BBB59"/>
          <w:bottom w:val="single" w:sz="8" w:space="0" w:color="9BBB59"/>
        </w:tblBorders>
        <w:tblLayout w:type="fixed"/>
        <w:tblLook w:val="04A0" w:firstRow="1" w:lastRow="0" w:firstColumn="1" w:lastColumn="0" w:noHBand="0" w:noVBand="1"/>
      </w:tblPr>
      <w:tblGrid>
        <w:gridCol w:w="973"/>
        <w:gridCol w:w="138"/>
        <w:gridCol w:w="1204"/>
        <w:gridCol w:w="116"/>
        <w:gridCol w:w="1291"/>
        <w:gridCol w:w="137"/>
        <w:gridCol w:w="1292"/>
        <w:gridCol w:w="53"/>
        <w:gridCol w:w="1266"/>
        <w:gridCol w:w="1603"/>
        <w:gridCol w:w="185"/>
        <w:gridCol w:w="1279"/>
      </w:tblGrid>
      <w:tr w:rsidR="00482D57" w:rsidRPr="004A771B" w:rsidTr="002E3ABA">
        <w:trPr>
          <w:trHeight w:val="286"/>
        </w:trPr>
        <w:tc>
          <w:tcPr>
            <w:tcW w:w="1111" w:type="dxa"/>
            <w:gridSpan w:val="2"/>
            <w:tcBorders>
              <w:top w:val="single" w:sz="8" w:space="0" w:color="9BBB59"/>
              <w:left w:val="nil"/>
              <w:bottom w:val="single" w:sz="8" w:space="0" w:color="9BBB59"/>
              <w:right w:val="nil"/>
            </w:tcBorders>
            <w:shd w:val="clear" w:color="auto" w:fill="auto"/>
            <w:noWrap/>
            <w:vAlign w:val="center"/>
          </w:tcPr>
          <w:p w:rsidR="00482D57" w:rsidRPr="004A771B" w:rsidRDefault="00482D57" w:rsidP="00AE2CF7">
            <w:pPr>
              <w:spacing w:line="276" w:lineRule="auto"/>
              <w:jc w:val="center"/>
              <w:rPr>
                <w:rFonts w:cs="Times New Roman"/>
                <w:szCs w:val="22"/>
              </w:rPr>
            </w:pPr>
            <w:r w:rsidRPr="004A771B">
              <w:rPr>
                <w:rFonts w:cs="Times New Roman"/>
                <w:szCs w:val="22"/>
              </w:rPr>
              <w:t>Modalité</w:t>
            </w:r>
          </w:p>
        </w:tc>
        <w:tc>
          <w:tcPr>
            <w:tcW w:w="1320" w:type="dxa"/>
            <w:gridSpan w:val="2"/>
            <w:tcBorders>
              <w:top w:val="single" w:sz="8" w:space="0" w:color="9BBB59"/>
              <w:left w:val="nil"/>
              <w:bottom w:val="single" w:sz="8" w:space="0" w:color="9BBB59"/>
              <w:right w:val="nil"/>
            </w:tcBorders>
            <w:shd w:val="clear" w:color="auto" w:fill="auto"/>
            <w:noWrap/>
            <w:vAlign w:val="center"/>
          </w:tcPr>
          <w:p w:rsidR="00482D57" w:rsidRPr="004A771B" w:rsidRDefault="00482D57" w:rsidP="00AE2CF7">
            <w:pPr>
              <w:spacing w:line="276" w:lineRule="auto"/>
              <w:jc w:val="center"/>
              <w:rPr>
                <w:rFonts w:cs="Times New Roman"/>
                <w:szCs w:val="22"/>
              </w:rPr>
            </w:pPr>
            <w:r w:rsidRPr="004A771B">
              <w:rPr>
                <w:rFonts w:cs="Times New Roman"/>
                <w:szCs w:val="22"/>
              </w:rPr>
              <w:t>IFT Total</w:t>
            </w:r>
          </w:p>
        </w:tc>
        <w:tc>
          <w:tcPr>
            <w:tcW w:w="1428" w:type="dxa"/>
            <w:gridSpan w:val="2"/>
            <w:tcBorders>
              <w:top w:val="single" w:sz="8" w:space="0" w:color="9BBB59"/>
              <w:left w:val="nil"/>
              <w:bottom w:val="single" w:sz="8" w:space="0" w:color="9BBB59"/>
              <w:right w:val="nil"/>
            </w:tcBorders>
            <w:shd w:val="clear" w:color="auto" w:fill="auto"/>
            <w:noWrap/>
            <w:vAlign w:val="center"/>
          </w:tcPr>
          <w:p w:rsidR="00482D57" w:rsidRPr="004A771B" w:rsidRDefault="00482D57" w:rsidP="00AE2CF7">
            <w:pPr>
              <w:spacing w:line="276" w:lineRule="auto"/>
              <w:jc w:val="center"/>
              <w:rPr>
                <w:rFonts w:cs="Times New Roman"/>
                <w:szCs w:val="22"/>
              </w:rPr>
            </w:pPr>
            <w:r w:rsidRPr="004A771B">
              <w:rPr>
                <w:rFonts w:cs="Times New Roman"/>
                <w:szCs w:val="22"/>
              </w:rPr>
              <w:t>IFT herbicide</w:t>
            </w:r>
          </w:p>
        </w:tc>
        <w:tc>
          <w:tcPr>
            <w:tcW w:w="1345" w:type="dxa"/>
            <w:gridSpan w:val="2"/>
            <w:tcBorders>
              <w:top w:val="single" w:sz="8" w:space="0" w:color="9BBB59"/>
              <w:left w:val="nil"/>
              <w:bottom w:val="single" w:sz="8" w:space="0" w:color="9BBB59"/>
              <w:right w:val="nil"/>
            </w:tcBorders>
            <w:shd w:val="clear" w:color="auto" w:fill="auto"/>
            <w:noWrap/>
            <w:vAlign w:val="center"/>
          </w:tcPr>
          <w:p w:rsidR="00482D57" w:rsidRPr="004A771B" w:rsidRDefault="00482D57" w:rsidP="00AE2CF7">
            <w:pPr>
              <w:spacing w:line="276" w:lineRule="auto"/>
              <w:jc w:val="center"/>
              <w:rPr>
                <w:rFonts w:cs="Times New Roman"/>
                <w:szCs w:val="22"/>
              </w:rPr>
            </w:pPr>
            <w:r w:rsidRPr="004A771B">
              <w:rPr>
                <w:rFonts w:cs="Times New Roman"/>
                <w:szCs w:val="22"/>
              </w:rPr>
              <w:t>IFT acaricide</w:t>
            </w:r>
          </w:p>
        </w:tc>
        <w:tc>
          <w:tcPr>
            <w:tcW w:w="1266" w:type="dxa"/>
            <w:tcBorders>
              <w:top w:val="single" w:sz="8" w:space="0" w:color="9BBB59"/>
              <w:left w:val="nil"/>
              <w:bottom w:val="single" w:sz="8" w:space="0" w:color="9BBB59"/>
              <w:right w:val="nil"/>
            </w:tcBorders>
            <w:vAlign w:val="center"/>
          </w:tcPr>
          <w:p w:rsidR="00482D57" w:rsidRPr="004A771B" w:rsidRDefault="00482D57" w:rsidP="00AE2CF7">
            <w:pPr>
              <w:spacing w:line="276" w:lineRule="auto"/>
              <w:jc w:val="center"/>
              <w:rPr>
                <w:rFonts w:cs="Times New Roman"/>
                <w:szCs w:val="22"/>
              </w:rPr>
            </w:pPr>
            <w:r w:rsidRPr="004A771B">
              <w:rPr>
                <w:rFonts w:cs="Times New Roman"/>
                <w:szCs w:val="22"/>
              </w:rPr>
              <w:t>IFT insecticide</w:t>
            </w:r>
          </w:p>
        </w:tc>
        <w:tc>
          <w:tcPr>
            <w:tcW w:w="1788" w:type="dxa"/>
            <w:gridSpan w:val="2"/>
            <w:tcBorders>
              <w:top w:val="single" w:sz="8" w:space="0" w:color="9BBB59"/>
              <w:left w:val="nil"/>
              <w:bottom w:val="single" w:sz="8" w:space="0" w:color="9BBB59"/>
              <w:right w:val="nil"/>
            </w:tcBorders>
            <w:vAlign w:val="center"/>
          </w:tcPr>
          <w:p w:rsidR="00482D57" w:rsidRPr="004A771B" w:rsidRDefault="00482D57" w:rsidP="00AE2CF7">
            <w:pPr>
              <w:spacing w:line="276" w:lineRule="auto"/>
              <w:jc w:val="center"/>
              <w:rPr>
                <w:rFonts w:cs="Times New Roman"/>
                <w:szCs w:val="22"/>
              </w:rPr>
            </w:pPr>
            <w:r w:rsidRPr="004A771B">
              <w:rPr>
                <w:rFonts w:cs="Times New Roman"/>
                <w:szCs w:val="22"/>
              </w:rPr>
              <w:t>IFT fongicide</w:t>
            </w:r>
          </w:p>
        </w:tc>
        <w:tc>
          <w:tcPr>
            <w:tcW w:w="1279" w:type="dxa"/>
            <w:tcBorders>
              <w:top w:val="single" w:sz="8" w:space="0" w:color="9BBB59"/>
              <w:left w:val="nil"/>
              <w:bottom w:val="single" w:sz="8" w:space="0" w:color="9BBB59"/>
              <w:right w:val="nil"/>
            </w:tcBorders>
            <w:vAlign w:val="center"/>
          </w:tcPr>
          <w:p w:rsidR="00482D57" w:rsidRPr="004A771B" w:rsidRDefault="00482D57" w:rsidP="00AE2CF7">
            <w:pPr>
              <w:spacing w:line="276" w:lineRule="auto"/>
              <w:jc w:val="center"/>
              <w:rPr>
                <w:rFonts w:cs="Times New Roman"/>
                <w:szCs w:val="22"/>
              </w:rPr>
            </w:pPr>
            <w:r w:rsidRPr="004A771B">
              <w:rPr>
                <w:rFonts w:cs="Times New Roman"/>
                <w:szCs w:val="22"/>
              </w:rPr>
              <w:t>IFT biocontrôle</w:t>
            </w:r>
          </w:p>
        </w:tc>
      </w:tr>
      <w:tr w:rsidR="00EE037C" w:rsidRPr="004A771B" w:rsidTr="002E3ABA">
        <w:trPr>
          <w:trHeight w:val="286"/>
        </w:trPr>
        <w:tc>
          <w:tcPr>
            <w:tcW w:w="973" w:type="dxa"/>
            <w:tcBorders>
              <w:left w:val="nil"/>
              <w:right w:val="nil"/>
            </w:tcBorders>
            <w:shd w:val="clear" w:color="auto" w:fill="E6EED5"/>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LB</w:t>
            </w:r>
          </w:p>
        </w:tc>
        <w:tc>
          <w:tcPr>
            <w:tcW w:w="1342" w:type="dxa"/>
            <w:gridSpan w:val="2"/>
            <w:tcBorders>
              <w:left w:val="nil"/>
              <w:right w:val="nil"/>
            </w:tcBorders>
            <w:shd w:val="clear" w:color="auto" w:fill="E6EED5"/>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407" w:type="dxa"/>
            <w:gridSpan w:val="2"/>
            <w:tcBorders>
              <w:left w:val="nil"/>
              <w:right w:val="nil"/>
            </w:tcBorders>
            <w:shd w:val="clear" w:color="auto" w:fill="E6EED5"/>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429" w:type="dxa"/>
            <w:gridSpan w:val="2"/>
            <w:tcBorders>
              <w:left w:val="nil"/>
              <w:right w:val="nil"/>
            </w:tcBorders>
            <w:shd w:val="clear" w:color="auto" w:fill="E6EED5"/>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319" w:type="dxa"/>
            <w:gridSpan w:val="2"/>
            <w:tcBorders>
              <w:left w:val="nil"/>
              <w:right w:val="nil"/>
            </w:tcBorders>
            <w:shd w:val="clear" w:color="auto" w:fill="E6EED5"/>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603" w:type="dxa"/>
            <w:tcBorders>
              <w:left w:val="nil"/>
              <w:right w:val="nil"/>
            </w:tcBorders>
            <w:shd w:val="clear" w:color="auto" w:fill="E6EED5"/>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464" w:type="dxa"/>
            <w:gridSpan w:val="2"/>
            <w:tcBorders>
              <w:left w:val="nil"/>
              <w:right w:val="nil"/>
            </w:tcBorders>
            <w:shd w:val="clear" w:color="auto" w:fill="E6EED5"/>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r>
      <w:tr w:rsidR="00EE037C" w:rsidRPr="004A771B" w:rsidTr="002E3ABA">
        <w:trPr>
          <w:trHeight w:val="286"/>
        </w:trPr>
        <w:tc>
          <w:tcPr>
            <w:tcW w:w="973" w:type="dxa"/>
            <w:shd w:val="clear" w:color="auto" w:fill="auto"/>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50%</w:t>
            </w:r>
          </w:p>
        </w:tc>
        <w:tc>
          <w:tcPr>
            <w:tcW w:w="1342" w:type="dxa"/>
            <w:gridSpan w:val="2"/>
            <w:shd w:val="clear" w:color="auto" w:fill="auto"/>
            <w:noWrap/>
            <w:vAlign w:val="center"/>
          </w:tcPr>
          <w:p w:rsidR="00EE037C" w:rsidRPr="004A771B" w:rsidRDefault="00213C65" w:rsidP="00AE2CF7">
            <w:pPr>
              <w:spacing w:line="276" w:lineRule="auto"/>
              <w:jc w:val="center"/>
              <w:rPr>
                <w:rFonts w:cs="Times New Roman"/>
                <w:szCs w:val="22"/>
              </w:rPr>
            </w:pPr>
            <w:r w:rsidRPr="004A771B">
              <w:rPr>
                <w:rFonts w:cs="Times New Roman"/>
                <w:szCs w:val="22"/>
              </w:rPr>
              <w:t>0</w:t>
            </w:r>
          </w:p>
        </w:tc>
        <w:tc>
          <w:tcPr>
            <w:tcW w:w="1407" w:type="dxa"/>
            <w:gridSpan w:val="2"/>
            <w:shd w:val="clear" w:color="auto" w:fill="auto"/>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429" w:type="dxa"/>
            <w:gridSpan w:val="2"/>
            <w:shd w:val="clear" w:color="auto" w:fill="auto"/>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319" w:type="dxa"/>
            <w:gridSpan w:val="2"/>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603" w:type="dxa"/>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464" w:type="dxa"/>
            <w:gridSpan w:val="2"/>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r>
      <w:tr w:rsidR="00EE037C" w:rsidRPr="004A771B" w:rsidTr="002E3ABA">
        <w:trPr>
          <w:trHeight w:val="286"/>
        </w:trPr>
        <w:tc>
          <w:tcPr>
            <w:tcW w:w="973" w:type="dxa"/>
            <w:tcBorders>
              <w:left w:val="nil"/>
              <w:right w:val="nil"/>
            </w:tcBorders>
            <w:shd w:val="clear" w:color="auto" w:fill="E6EED5"/>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CH</w:t>
            </w:r>
          </w:p>
        </w:tc>
        <w:tc>
          <w:tcPr>
            <w:tcW w:w="1342" w:type="dxa"/>
            <w:gridSpan w:val="2"/>
            <w:tcBorders>
              <w:left w:val="nil"/>
              <w:right w:val="nil"/>
            </w:tcBorders>
            <w:shd w:val="clear" w:color="auto" w:fill="E6EED5"/>
            <w:noWrap/>
            <w:vAlign w:val="center"/>
          </w:tcPr>
          <w:p w:rsidR="00EE037C" w:rsidRPr="004A771B" w:rsidRDefault="00213C65" w:rsidP="00AE2CF7">
            <w:pPr>
              <w:spacing w:line="276" w:lineRule="auto"/>
              <w:jc w:val="center"/>
              <w:rPr>
                <w:rFonts w:cs="Times New Roman"/>
                <w:szCs w:val="22"/>
              </w:rPr>
            </w:pPr>
            <w:r w:rsidRPr="004A771B">
              <w:rPr>
                <w:rFonts w:cs="Times New Roman"/>
                <w:szCs w:val="22"/>
              </w:rPr>
              <w:t>3,15</w:t>
            </w:r>
          </w:p>
        </w:tc>
        <w:tc>
          <w:tcPr>
            <w:tcW w:w="1407" w:type="dxa"/>
            <w:gridSpan w:val="2"/>
            <w:tcBorders>
              <w:left w:val="nil"/>
              <w:right w:val="nil"/>
            </w:tcBorders>
            <w:shd w:val="clear" w:color="auto" w:fill="E6EED5"/>
            <w:noWrap/>
            <w:vAlign w:val="center"/>
          </w:tcPr>
          <w:p w:rsidR="00EE037C" w:rsidRPr="004A771B" w:rsidRDefault="00213C65" w:rsidP="00AE2CF7">
            <w:pPr>
              <w:spacing w:line="276" w:lineRule="auto"/>
              <w:jc w:val="center"/>
              <w:rPr>
                <w:rFonts w:cs="Times New Roman"/>
                <w:szCs w:val="22"/>
              </w:rPr>
            </w:pPr>
            <w:r w:rsidRPr="004A771B">
              <w:rPr>
                <w:rFonts w:cs="Times New Roman"/>
                <w:szCs w:val="22"/>
              </w:rPr>
              <w:t>3,15</w:t>
            </w:r>
          </w:p>
        </w:tc>
        <w:tc>
          <w:tcPr>
            <w:tcW w:w="1429" w:type="dxa"/>
            <w:gridSpan w:val="2"/>
            <w:tcBorders>
              <w:left w:val="nil"/>
              <w:right w:val="nil"/>
            </w:tcBorders>
            <w:shd w:val="clear" w:color="auto" w:fill="E6EED5"/>
            <w:noWrap/>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319" w:type="dxa"/>
            <w:gridSpan w:val="2"/>
            <w:tcBorders>
              <w:left w:val="nil"/>
              <w:right w:val="nil"/>
            </w:tcBorders>
            <w:shd w:val="clear" w:color="auto" w:fill="E6EED5"/>
            <w:vAlign w:val="center"/>
          </w:tcPr>
          <w:p w:rsidR="00EE037C" w:rsidRPr="004A771B" w:rsidRDefault="00213C65" w:rsidP="00AE2CF7">
            <w:pPr>
              <w:spacing w:line="276" w:lineRule="auto"/>
              <w:jc w:val="center"/>
              <w:rPr>
                <w:rFonts w:cs="Times New Roman"/>
                <w:szCs w:val="22"/>
              </w:rPr>
            </w:pPr>
            <w:r w:rsidRPr="004A771B">
              <w:rPr>
                <w:rFonts w:cs="Times New Roman"/>
                <w:szCs w:val="22"/>
              </w:rPr>
              <w:t>0</w:t>
            </w:r>
          </w:p>
        </w:tc>
        <w:tc>
          <w:tcPr>
            <w:tcW w:w="1603" w:type="dxa"/>
            <w:tcBorders>
              <w:left w:val="nil"/>
              <w:right w:val="nil"/>
            </w:tcBorders>
            <w:shd w:val="clear" w:color="auto" w:fill="E6EED5"/>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c>
          <w:tcPr>
            <w:tcW w:w="1464" w:type="dxa"/>
            <w:gridSpan w:val="2"/>
            <w:tcBorders>
              <w:left w:val="nil"/>
              <w:right w:val="nil"/>
            </w:tcBorders>
            <w:shd w:val="clear" w:color="auto" w:fill="E6EED5"/>
            <w:vAlign w:val="center"/>
          </w:tcPr>
          <w:p w:rsidR="00EE037C" w:rsidRPr="004A771B" w:rsidRDefault="00EE037C" w:rsidP="00AE2CF7">
            <w:pPr>
              <w:spacing w:line="276" w:lineRule="auto"/>
              <w:jc w:val="center"/>
              <w:rPr>
                <w:rFonts w:cs="Times New Roman"/>
                <w:szCs w:val="22"/>
              </w:rPr>
            </w:pPr>
            <w:r w:rsidRPr="004A771B">
              <w:rPr>
                <w:rFonts w:cs="Times New Roman"/>
                <w:szCs w:val="22"/>
              </w:rPr>
              <w:t>0</w:t>
            </w:r>
          </w:p>
        </w:tc>
      </w:tr>
    </w:tbl>
    <w:p w:rsidR="0040739B" w:rsidRPr="004A771B" w:rsidRDefault="0040739B" w:rsidP="00AE2CF7">
      <w:pPr>
        <w:pStyle w:val="Lgende"/>
        <w:spacing w:line="276" w:lineRule="auto"/>
        <w:jc w:val="center"/>
      </w:pPr>
      <w:r w:rsidRPr="004A771B">
        <w:t xml:space="preserve">Tableau </w:t>
      </w:r>
      <w:r w:rsidR="008F72D3">
        <w:fldChar w:fldCharType="begin"/>
      </w:r>
      <w:r w:rsidR="008F72D3">
        <w:instrText xml:space="preserve"> SEQ Tableau \* ARABIC </w:instrText>
      </w:r>
      <w:r w:rsidR="008F72D3">
        <w:fldChar w:fldCharType="separate"/>
      </w:r>
      <w:r w:rsidR="00DA2B09">
        <w:rPr>
          <w:noProof/>
        </w:rPr>
        <w:t>24</w:t>
      </w:r>
      <w:r w:rsidR="008F72D3">
        <w:rPr>
          <w:noProof/>
        </w:rPr>
        <w:fldChar w:fldCharType="end"/>
      </w:r>
      <w:r w:rsidR="0063363B">
        <w:t xml:space="preserve"> : i</w:t>
      </w:r>
      <w:r w:rsidRPr="004A771B">
        <w:t>ndice de fréquence de traitements par catégories de produits phytosanitaires</w:t>
      </w:r>
    </w:p>
    <w:p w:rsidR="00FA4B3D" w:rsidRPr="004A771B" w:rsidRDefault="00FA4B3D" w:rsidP="00AE2CF7">
      <w:pPr>
        <w:suppressAutoHyphens w:val="0"/>
        <w:spacing w:after="200" w:line="276" w:lineRule="auto"/>
        <w:jc w:val="both"/>
        <w:rPr>
          <w:rFonts w:eastAsia="Calibri" w:cs="Times New Roman"/>
          <w:szCs w:val="22"/>
          <w:lang w:eastAsia="en-US"/>
        </w:rPr>
      </w:pPr>
    </w:p>
    <w:p w:rsidR="00FA4B3D" w:rsidRPr="004A771B" w:rsidRDefault="00FA4B3D" w:rsidP="00AE2CF7">
      <w:pPr>
        <w:suppressAutoHyphens w:val="0"/>
        <w:spacing w:after="200" w:line="276" w:lineRule="auto"/>
        <w:jc w:val="both"/>
        <w:rPr>
          <w:rFonts w:eastAsia="Calibri" w:cs="Times New Roman"/>
          <w:szCs w:val="22"/>
          <w:lang w:eastAsia="en-US"/>
        </w:rPr>
      </w:pPr>
      <w:r w:rsidRPr="004A771B">
        <w:rPr>
          <w:rFonts w:eastAsia="Calibri" w:cs="Times New Roman"/>
          <w:szCs w:val="22"/>
          <w:lang w:eastAsia="en-US"/>
        </w:rPr>
        <w:t>Les IFT sont nulles pour les SdC 2 et 3. Une diminution de l’IFT est observée dans le SdC 1 grâce à la suppression des insecticides. Un contrôle des populations de ravageurs et l’application de règles de décision a permis de réduire de manière importante l’IFT quel que soit le SdC.</w:t>
      </w:r>
    </w:p>
    <w:p w:rsidR="00FA4B3D" w:rsidRPr="004A771B" w:rsidRDefault="00FA4B3D" w:rsidP="00AE2CF7">
      <w:pPr>
        <w:suppressAutoHyphens w:val="0"/>
        <w:spacing w:after="200" w:line="276" w:lineRule="auto"/>
        <w:jc w:val="both"/>
        <w:rPr>
          <w:rFonts w:eastAsia="Calibri" w:cs="Times New Roman"/>
          <w:color w:val="00B050"/>
          <w:szCs w:val="22"/>
          <w:lang w:eastAsia="en-US"/>
        </w:rPr>
      </w:pPr>
      <w:r w:rsidRPr="004A771B">
        <w:rPr>
          <w:rFonts w:eastAsia="Calibri" w:cs="Times New Roman"/>
          <w:color w:val="00B050"/>
          <w:szCs w:val="22"/>
          <w:lang w:eastAsia="en-US"/>
        </w:rPr>
        <w:t>Kiwi 2012</w:t>
      </w:r>
    </w:p>
    <w:p w:rsidR="00FA4B3D" w:rsidRPr="004A771B" w:rsidRDefault="00FA4B3D" w:rsidP="00AE2CF7">
      <w:pPr>
        <w:pStyle w:val="Lgende"/>
        <w:spacing w:line="276" w:lineRule="auto"/>
        <w:jc w:val="center"/>
      </w:pPr>
      <w:r w:rsidRPr="004A771B">
        <w:t xml:space="preserve">Tableau </w:t>
      </w:r>
      <w:r w:rsidR="008F72D3">
        <w:fldChar w:fldCharType="begin"/>
      </w:r>
      <w:r w:rsidR="008F72D3">
        <w:instrText xml:space="preserve"> SEQ Tableau \* ARABIC </w:instrText>
      </w:r>
      <w:r w:rsidR="008F72D3">
        <w:fldChar w:fldCharType="separate"/>
      </w:r>
      <w:r w:rsidR="00DA2B09">
        <w:rPr>
          <w:noProof/>
        </w:rPr>
        <w:t>25</w:t>
      </w:r>
      <w:r w:rsidR="008F72D3">
        <w:rPr>
          <w:noProof/>
        </w:rPr>
        <w:fldChar w:fldCharType="end"/>
      </w:r>
      <w:r w:rsidRPr="004A771B">
        <w:t xml:space="preserve"> : indice de fréquence de traitements par catégories de produits phytosanitaires</w:t>
      </w:r>
    </w:p>
    <w:tbl>
      <w:tblPr>
        <w:tblpPr w:leftFromText="141" w:rightFromText="141" w:vertAnchor="text" w:horzAnchor="margin" w:tblpY="118"/>
        <w:tblW w:w="9537" w:type="dxa"/>
        <w:tblBorders>
          <w:top w:val="single" w:sz="8" w:space="0" w:color="9BBB59"/>
          <w:bottom w:val="single" w:sz="8" w:space="0" w:color="9BBB59"/>
        </w:tblBorders>
        <w:tblLayout w:type="fixed"/>
        <w:tblLook w:val="04A0" w:firstRow="1" w:lastRow="0" w:firstColumn="1" w:lastColumn="0" w:noHBand="0" w:noVBand="1"/>
      </w:tblPr>
      <w:tblGrid>
        <w:gridCol w:w="973"/>
        <w:gridCol w:w="138"/>
        <w:gridCol w:w="1204"/>
        <w:gridCol w:w="116"/>
        <w:gridCol w:w="1291"/>
        <w:gridCol w:w="137"/>
        <w:gridCol w:w="1292"/>
        <w:gridCol w:w="53"/>
        <w:gridCol w:w="1266"/>
        <w:gridCol w:w="1603"/>
        <w:gridCol w:w="185"/>
        <w:gridCol w:w="1279"/>
      </w:tblGrid>
      <w:tr w:rsidR="00FA4B3D" w:rsidRPr="004A771B" w:rsidTr="00FA4B3D">
        <w:trPr>
          <w:trHeight w:val="286"/>
        </w:trPr>
        <w:tc>
          <w:tcPr>
            <w:tcW w:w="1111" w:type="dxa"/>
            <w:gridSpan w:val="2"/>
            <w:tcBorders>
              <w:top w:val="single" w:sz="8" w:space="0" w:color="9BBB59"/>
              <w:left w:val="nil"/>
              <w:bottom w:val="single" w:sz="8" w:space="0" w:color="9BBB59"/>
              <w:right w:val="nil"/>
            </w:tcBorders>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Modalité</w:t>
            </w:r>
          </w:p>
        </w:tc>
        <w:tc>
          <w:tcPr>
            <w:tcW w:w="1320" w:type="dxa"/>
            <w:gridSpan w:val="2"/>
            <w:tcBorders>
              <w:top w:val="single" w:sz="8" w:space="0" w:color="9BBB59"/>
              <w:left w:val="nil"/>
              <w:bottom w:val="single" w:sz="8" w:space="0" w:color="9BBB59"/>
              <w:right w:val="nil"/>
            </w:tcBorders>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IFT Total</w:t>
            </w:r>
          </w:p>
        </w:tc>
        <w:tc>
          <w:tcPr>
            <w:tcW w:w="1428" w:type="dxa"/>
            <w:gridSpan w:val="2"/>
            <w:tcBorders>
              <w:top w:val="single" w:sz="8" w:space="0" w:color="9BBB59"/>
              <w:left w:val="nil"/>
              <w:bottom w:val="single" w:sz="8" w:space="0" w:color="9BBB59"/>
              <w:right w:val="nil"/>
            </w:tcBorders>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IFT herbicide</w:t>
            </w:r>
          </w:p>
        </w:tc>
        <w:tc>
          <w:tcPr>
            <w:tcW w:w="1345" w:type="dxa"/>
            <w:gridSpan w:val="2"/>
            <w:tcBorders>
              <w:top w:val="single" w:sz="8" w:space="0" w:color="9BBB59"/>
              <w:left w:val="nil"/>
              <w:bottom w:val="single" w:sz="8" w:space="0" w:color="9BBB59"/>
              <w:right w:val="nil"/>
            </w:tcBorders>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IFT acaricide</w:t>
            </w:r>
          </w:p>
        </w:tc>
        <w:tc>
          <w:tcPr>
            <w:tcW w:w="1266" w:type="dxa"/>
            <w:tcBorders>
              <w:top w:val="single" w:sz="8" w:space="0" w:color="9BBB59"/>
              <w:left w:val="nil"/>
              <w:bottom w:val="single" w:sz="8" w:space="0" w:color="9BBB59"/>
              <w:right w:val="nil"/>
            </w:tcBorders>
            <w:vAlign w:val="center"/>
          </w:tcPr>
          <w:p w:rsidR="00FA4B3D" w:rsidRPr="004A771B" w:rsidRDefault="00FA4B3D" w:rsidP="00AE2CF7">
            <w:pPr>
              <w:spacing w:line="276" w:lineRule="auto"/>
              <w:jc w:val="center"/>
              <w:rPr>
                <w:rFonts w:cs="Times New Roman"/>
                <w:szCs w:val="22"/>
              </w:rPr>
            </w:pPr>
            <w:r w:rsidRPr="004A771B">
              <w:rPr>
                <w:rFonts w:cs="Times New Roman"/>
                <w:szCs w:val="22"/>
              </w:rPr>
              <w:t>IFT insecticide</w:t>
            </w:r>
          </w:p>
        </w:tc>
        <w:tc>
          <w:tcPr>
            <w:tcW w:w="1788" w:type="dxa"/>
            <w:gridSpan w:val="2"/>
            <w:tcBorders>
              <w:top w:val="single" w:sz="8" w:space="0" w:color="9BBB59"/>
              <w:left w:val="nil"/>
              <w:bottom w:val="single" w:sz="8" w:space="0" w:color="9BBB59"/>
              <w:right w:val="nil"/>
            </w:tcBorders>
            <w:vAlign w:val="center"/>
          </w:tcPr>
          <w:p w:rsidR="00FA4B3D" w:rsidRPr="004A771B" w:rsidRDefault="00FA4B3D" w:rsidP="00AE2CF7">
            <w:pPr>
              <w:spacing w:line="276" w:lineRule="auto"/>
              <w:jc w:val="center"/>
              <w:rPr>
                <w:rFonts w:cs="Times New Roman"/>
                <w:szCs w:val="22"/>
              </w:rPr>
            </w:pPr>
            <w:r w:rsidRPr="004A771B">
              <w:rPr>
                <w:rFonts w:cs="Times New Roman"/>
                <w:szCs w:val="22"/>
              </w:rPr>
              <w:t>IFT fongicide</w:t>
            </w:r>
          </w:p>
        </w:tc>
        <w:tc>
          <w:tcPr>
            <w:tcW w:w="1279" w:type="dxa"/>
            <w:tcBorders>
              <w:top w:val="single" w:sz="8" w:space="0" w:color="9BBB59"/>
              <w:left w:val="nil"/>
              <w:bottom w:val="single" w:sz="8" w:space="0" w:color="9BBB59"/>
              <w:right w:val="nil"/>
            </w:tcBorders>
            <w:vAlign w:val="center"/>
          </w:tcPr>
          <w:p w:rsidR="00FA4B3D" w:rsidRPr="004A771B" w:rsidRDefault="00FA4B3D" w:rsidP="00AE2CF7">
            <w:pPr>
              <w:spacing w:line="276" w:lineRule="auto"/>
              <w:jc w:val="center"/>
              <w:rPr>
                <w:rFonts w:cs="Times New Roman"/>
                <w:szCs w:val="22"/>
              </w:rPr>
            </w:pPr>
            <w:r w:rsidRPr="004A771B">
              <w:rPr>
                <w:rFonts w:cs="Times New Roman"/>
                <w:szCs w:val="22"/>
              </w:rPr>
              <w:t>IFT biocontrôle</w:t>
            </w:r>
          </w:p>
        </w:tc>
      </w:tr>
      <w:tr w:rsidR="00FA4B3D" w:rsidRPr="004A771B" w:rsidTr="00FA4B3D">
        <w:trPr>
          <w:trHeight w:val="286"/>
        </w:trPr>
        <w:tc>
          <w:tcPr>
            <w:tcW w:w="973" w:type="dxa"/>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LB</w:t>
            </w:r>
          </w:p>
        </w:tc>
        <w:tc>
          <w:tcPr>
            <w:tcW w:w="1342" w:type="dxa"/>
            <w:gridSpan w:val="2"/>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07" w:type="dxa"/>
            <w:gridSpan w:val="2"/>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29" w:type="dxa"/>
            <w:gridSpan w:val="2"/>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319" w:type="dxa"/>
            <w:gridSpan w:val="2"/>
            <w:tcBorders>
              <w:left w:val="nil"/>
              <w:right w:val="nil"/>
            </w:tcBorders>
            <w:shd w:val="clear" w:color="auto" w:fill="E6EED5"/>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603" w:type="dxa"/>
            <w:tcBorders>
              <w:left w:val="nil"/>
              <w:right w:val="nil"/>
            </w:tcBorders>
            <w:shd w:val="clear" w:color="auto" w:fill="E6EED5"/>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64" w:type="dxa"/>
            <w:gridSpan w:val="2"/>
            <w:tcBorders>
              <w:left w:val="nil"/>
              <w:right w:val="nil"/>
            </w:tcBorders>
            <w:shd w:val="clear" w:color="auto" w:fill="E6EED5"/>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r>
      <w:tr w:rsidR="00FA4B3D" w:rsidRPr="004A771B" w:rsidTr="00FA4B3D">
        <w:trPr>
          <w:trHeight w:val="286"/>
        </w:trPr>
        <w:tc>
          <w:tcPr>
            <w:tcW w:w="973" w:type="dxa"/>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50%</w:t>
            </w:r>
          </w:p>
        </w:tc>
        <w:tc>
          <w:tcPr>
            <w:tcW w:w="1342" w:type="dxa"/>
            <w:gridSpan w:val="2"/>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07" w:type="dxa"/>
            <w:gridSpan w:val="2"/>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29" w:type="dxa"/>
            <w:gridSpan w:val="2"/>
            <w:shd w:val="clear" w:color="auto" w:fill="auto"/>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319" w:type="dxa"/>
            <w:gridSpan w:val="2"/>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603" w:type="dxa"/>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64" w:type="dxa"/>
            <w:gridSpan w:val="2"/>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r>
      <w:tr w:rsidR="00FA4B3D" w:rsidRPr="004A771B" w:rsidTr="00FA4B3D">
        <w:trPr>
          <w:trHeight w:val="286"/>
        </w:trPr>
        <w:tc>
          <w:tcPr>
            <w:tcW w:w="973" w:type="dxa"/>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CH</w:t>
            </w:r>
          </w:p>
        </w:tc>
        <w:tc>
          <w:tcPr>
            <w:tcW w:w="1342" w:type="dxa"/>
            <w:gridSpan w:val="2"/>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2,5</w:t>
            </w:r>
          </w:p>
        </w:tc>
        <w:tc>
          <w:tcPr>
            <w:tcW w:w="1407" w:type="dxa"/>
            <w:gridSpan w:val="2"/>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2,5</w:t>
            </w:r>
          </w:p>
        </w:tc>
        <w:tc>
          <w:tcPr>
            <w:tcW w:w="1429" w:type="dxa"/>
            <w:gridSpan w:val="2"/>
            <w:tcBorders>
              <w:left w:val="nil"/>
              <w:right w:val="nil"/>
            </w:tcBorders>
            <w:shd w:val="clear" w:color="auto" w:fill="E6EED5"/>
            <w:noWrap/>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319" w:type="dxa"/>
            <w:gridSpan w:val="2"/>
            <w:tcBorders>
              <w:left w:val="nil"/>
              <w:right w:val="nil"/>
            </w:tcBorders>
            <w:shd w:val="clear" w:color="auto" w:fill="E6EED5"/>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603" w:type="dxa"/>
            <w:tcBorders>
              <w:left w:val="nil"/>
              <w:right w:val="nil"/>
            </w:tcBorders>
            <w:shd w:val="clear" w:color="auto" w:fill="E6EED5"/>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c>
          <w:tcPr>
            <w:tcW w:w="1464" w:type="dxa"/>
            <w:gridSpan w:val="2"/>
            <w:tcBorders>
              <w:left w:val="nil"/>
              <w:right w:val="nil"/>
            </w:tcBorders>
            <w:shd w:val="clear" w:color="auto" w:fill="E6EED5"/>
            <w:vAlign w:val="center"/>
          </w:tcPr>
          <w:p w:rsidR="00FA4B3D" w:rsidRPr="004A771B" w:rsidRDefault="00FA4B3D" w:rsidP="00AE2CF7">
            <w:pPr>
              <w:spacing w:line="276" w:lineRule="auto"/>
              <w:jc w:val="center"/>
              <w:rPr>
                <w:rFonts w:cs="Times New Roman"/>
                <w:szCs w:val="22"/>
              </w:rPr>
            </w:pPr>
            <w:r w:rsidRPr="004A771B">
              <w:rPr>
                <w:rFonts w:cs="Times New Roman"/>
                <w:szCs w:val="22"/>
              </w:rPr>
              <w:t>0</w:t>
            </w:r>
          </w:p>
        </w:tc>
      </w:tr>
    </w:tbl>
    <w:p w:rsidR="00FA4B3D" w:rsidRPr="004A771B" w:rsidRDefault="00FA4B3D" w:rsidP="00AE2CF7">
      <w:pPr>
        <w:suppressAutoHyphens w:val="0"/>
        <w:spacing w:after="200" w:line="276" w:lineRule="auto"/>
        <w:jc w:val="both"/>
        <w:rPr>
          <w:rFonts w:eastAsia="Calibri" w:cs="Times New Roman"/>
          <w:szCs w:val="22"/>
          <w:lang w:eastAsia="en-US"/>
        </w:rPr>
      </w:pPr>
    </w:p>
    <w:p w:rsidR="00B74876" w:rsidRDefault="00705791" w:rsidP="00AE2CF7">
      <w:pPr>
        <w:suppressAutoHyphens w:val="0"/>
        <w:spacing w:after="200" w:line="276" w:lineRule="auto"/>
        <w:jc w:val="both"/>
        <w:rPr>
          <w:rFonts w:eastAsia="Calibri" w:cs="Times New Roman"/>
          <w:sz w:val="24"/>
          <w:lang w:eastAsia="en-US"/>
        </w:rPr>
      </w:pPr>
      <w:r w:rsidRPr="004A771B">
        <w:rPr>
          <w:rFonts w:eastAsia="Calibri" w:cs="Times New Roman"/>
          <w:szCs w:val="22"/>
          <w:lang w:eastAsia="en-US"/>
        </w:rPr>
        <w:t xml:space="preserve">Pour une première année de résultat, la baisse d’IFT est de 100%. L’itinéraire technique testé depuis </w:t>
      </w:r>
      <w:r w:rsidR="005C51DD">
        <w:rPr>
          <w:rFonts w:eastAsia="Calibri" w:cs="Times New Roman"/>
          <w:szCs w:val="22"/>
          <w:lang w:eastAsia="en-US"/>
        </w:rPr>
        <w:t>trois</w:t>
      </w:r>
      <w:r w:rsidRPr="004A771B">
        <w:rPr>
          <w:rFonts w:eastAsia="Calibri" w:cs="Times New Roman"/>
          <w:szCs w:val="22"/>
          <w:lang w:eastAsia="en-US"/>
        </w:rPr>
        <w:t xml:space="preserve"> ans dans la parcelle attenante a permis de supprimer les intrants dans cette parcelle de jeunes kiwis. La mise en place de la réduction d’intrants est donc possible</w:t>
      </w:r>
      <w:r>
        <w:rPr>
          <w:rFonts w:eastAsia="Calibri" w:cs="Times New Roman"/>
          <w:sz w:val="24"/>
          <w:lang w:eastAsia="en-US"/>
        </w:rPr>
        <w:t xml:space="preserve"> sur kiwi</w:t>
      </w:r>
      <w:r w:rsidR="00B74876">
        <w:rPr>
          <w:rFonts w:eastAsia="Calibri" w:cs="Times New Roman"/>
          <w:sz w:val="24"/>
          <w:lang w:eastAsia="en-US"/>
        </w:rPr>
        <w:t xml:space="preserve"> dès la mise en place du verger.</w:t>
      </w:r>
    </w:p>
    <w:p w:rsidR="00D25264" w:rsidRDefault="00D25264" w:rsidP="00AE2CF7">
      <w:pPr>
        <w:suppressAutoHyphens w:val="0"/>
        <w:spacing w:after="200" w:line="276" w:lineRule="auto"/>
        <w:jc w:val="both"/>
        <w:rPr>
          <w:rFonts w:eastAsia="Calibri" w:cs="Times New Roman"/>
          <w:sz w:val="24"/>
          <w:lang w:eastAsia="en-US"/>
        </w:rPr>
      </w:pPr>
    </w:p>
    <w:p w:rsidR="00D25264" w:rsidRDefault="00D25264" w:rsidP="00AE2CF7">
      <w:pPr>
        <w:suppressAutoHyphens w:val="0"/>
        <w:spacing w:after="200" w:line="276" w:lineRule="auto"/>
        <w:jc w:val="both"/>
        <w:rPr>
          <w:rFonts w:eastAsia="Calibri" w:cs="Times New Roman"/>
          <w:sz w:val="24"/>
          <w:lang w:eastAsia="en-US"/>
        </w:rPr>
      </w:pPr>
    </w:p>
    <w:p w:rsidR="00D25264" w:rsidRDefault="00D25264" w:rsidP="00AE2CF7">
      <w:pPr>
        <w:suppressAutoHyphens w:val="0"/>
        <w:spacing w:after="200" w:line="276" w:lineRule="auto"/>
        <w:jc w:val="both"/>
        <w:rPr>
          <w:rFonts w:eastAsia="Calibri" w:cs="Times New Roman"/>
          <w:sz w:val="24"/>
          <w:lang w:eastAsia="en-US"/>
        </w:rPr>
      </w:pPr>
    </w:p>
    <w:p w:rsidR="00D25264" w:rsidRDefault="00D25264" w:rsidP="00AE2CF7">
      <w:pPr>
        <w:suppressAutoHyphens w:val="0"/>
        <w:spacing w:after="200" w:line="276" w:lineRule="auto"/>
        <w:jc w:val="both"/>
        <w:rPr>
          <w:rFonts w:eastAsia="Calibri" w:cs="Times New Roman"/>
          <w:sz w:val="24"/>
          <w:lang w:eastAsia="en-US"/>
        </w:rPr>
      </w:pPr>
    </w:p>
    <w:p w:rsidR="00D25264" w:rsidRDefault="00D25264" w:rsidP="00AE2CF7">
      <w:pPr>
        <w:suppressAutoHyphens w:val="0"/>
        <w:spacing w:after="200" w:line="276" w:lineRule="auto"/>
        <w:jc w:val="both"/>
        <w:rPr>
          <w:rFonts w:eastAsia="Calibri" w:cs="Times New Roman"/>
          <w:sz w:val="24"/>
          <w:lang w:eastAsia="en-US"/>
        </w:rPr>
      </w:pPr>
    </w:p>
    <w:p w:rsidR="00D25264" w:rsidRDefault="00D25264" w:rsidP="00AE2CF7">
      <w:pPr>
        <w:suppressAutoHyphens w:val="0"/>
        <w:spacing w:after="200" w:line="276" w:lineRule="auto"/>
        <w:jc w:val="both"/>
        <w:rPr>
          <w:rFonts w:eastAsia="Calibri" w:cs="Times New Roman"/>
          <w:sz w:val="24"/>
          <w:lang w:eastAsia="en-US"/>
        </w:rPr>
      </w:pPr>
    </w:p>
    <w:p w:rsidR="00D25264" w:rsidRDefault="00D25264" w:rsidP="00AE2CF7">
      <w:pPr>
        <w:suppressAutoHyphens w:val="0"/>
        <w:spacing w:after="200" w:line="276" w:lineRule="auto"/>
        <w:jc w:val="both"/>
        <w:rPr>
          <w:rFonts w:eastAsia="Calibri" w:cs="Times New Roman"/>
          <w:sz w:val="24"/>
          <w:lang w:eastAsia="en-US"/>
        </w:rPr>
      </w:pPr>
    </w:p>
    <w:p w:rsidR="00D25264" w:rsidRPr="005F070D" w:rsidRDefault="00D25264" w:rsidP="00AE2CF7">
      <w:pPr>
        <w:suppressAutoHyphens w:val="0"/>
        <w:spacing w:after="200" w:line="276" w:lineRule="auto"/>
        <w:jc w:val="both"/>
        <w:rPr>
          <w:rFonts w:eastAsia="Calibri" w:cs="Times New Roman"/>
          <w:sz w:val="24"/>
          <w:lang w:eastAsia="en-US"/>
        </w:rPr>
      </w:pPr>
    </w:p>
    <w:p w:rsidR="0040739B" w:rsidRPr="005F070D" w:rsidRDefault="0040739B" w:rsidP="00AE2CF7">
      <w:pPr>
        <w:suppressAutoHyphens w:val="0"/>
        <w:spacing w:after="200" w:line="276" w:lineRule="auto"/>
        <w:jc w:val="both"/>
        <w:rPr>
          <w:rFonts w:eastAsia="Calibri" w:cs="Times New Roman"/>
          <w:b/>
          <w:sz w:val="24"/>
          <w:lang w:eastAsia="en-US"/>
        </w:rPr>
      </w:pPr>
      <w:r w:rsidRPr="005F070D">
        <w:rPr>
          <w:rFonts w:eastAsia="Calibri" w:cs="Times New Roman"/>
          <w:b/>
          <w:sz w:val="24"/>
          <w:lang w:eastAsia="en-US"/>
        </w:rPr>
        <w:lastRenderedPageBreak/>
        <w:t>Les indicateurs agronomiques</w:t>
      </w:r>
    </w:p>
    <w:p w:rsidR="0040739B" w:rsidRDefault="0040739B" w:rsidP="00AE2CF7">
      <w:pPr>
        <w:suppressAutoHyphens w:val="0"/>
        <w:spacing w:after="200" w:line="276" w:lineRule="auto"/>
        <w:jc w:val="both"/>
        <w:rPr>
          <w:rFonts w:eastAsia="Calibri" w:cs="Times New Roman"/>
          <w:sz w:val="24"/>
          <w:u w:val="single"/>
          <w:lang w:eastAsia="en-US"/>
        </w:rPr>
      </w:pPr>
      <w:r w:rsidRPr="005F070D">
        <w:rPr>
          <w:rFonts w:eastAsia="Calibri" w:cs="Times New Roman"/>
          <w:sz w:val="24"/>
          <w:u w:val="single"/>
          <w:lang w:eastAsia="en-US"/>
        </w:rPr>
        <w:t>Analyse physico-chimique des fruits</w:t>
      </w:r>
    </w:p>
    <w:p w:rsidR="00FA4B3D" w:rsidRPr="00FA4B3D" w:rsidRDefault="00FA4B3D" w:rsidP="00AE2CF7">
      <w:pPr>
        <w:suppressAutoHyphens w:val="0"/>
        <w:spacing w:after="200" w:line="276" w:lineRule="auto"/>
        <w:jc w:val="both"/>
        <w:rPr>
          <w:rFonts w:eastAsia="Calibri" w:cs="Times New Roman"/>
          <w:color w:val="00B050"/>
          <w:sz w:val="24"/>
          <w:lang w:eastAsia="en-US"/>
        </w:rPr>
      </w:pPr>
      <w:r w:rsidRPr="00FA4B3D">
        <w:rPr>
          <w:rFonts w:eastAsia="Calibri" w:cs="Times New Roman"/>
          <w:color w:val="00B050"/>
          <w:sz w:val="24"/>
          <w:lang w:eastAsia="en-US"/>
        </w:rPr>
        <w:t>Kiwi 2004</w:t>
      </w:r>
    </w:p>
    <w:p w:rsidR="00AE2CF7" w:rsidRPr="002E3ABA" w:rsidRDefault="007458F9"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Comme en 2014</w:t>
      </w:r>
      <w:r w:rsidR="0040739B" w:rsidRPr="002E3ABA">
        <w:rPr>
          <w:rFonts w:eastAsia="Calibri" w:cs="Times New Roman"/>
          <w:szCs w:val="22"/>
          <w:lang w:eastAsia="en-US"/>
        </w:rPr>
        <w:t>, trois critères sont pris en compte : le pourcentage de jus, la teneur en sucre et l’acidité. Les analyses ont été</w:t>
      </w:r>
      <w:r w:rsidR="002D1677" w:rsidRPr="002E3ABA">
        <w:rPr>
          <w:rFonts w:eastAsia="Calibri" w:cs="Times New Roman"/>
          <w:szCs w:val="22"/>
          <w:lang w:eastAsia="en-US"/>
        </w:rPr>
        <w:t xml:space="preserve"> effectué</w:t>
      </w:r>
      <w:r w:rsidR="00450393">
        <w:rPr>
          <w:rFonts w:eastAsia="Calibri" w:cs="Times New Roman"/>
          <w:szCs w:val="22"/>
          <w:lang w:eastAsia="en-US"/>
        </w:rPr>
        <w:t>es</w:t>
      </w:r>
      <w:r w:rsidR="002D1677" w:rsidRPr="002E3ABA">
        <w:rPr>
          <w:rFonts w:eastAsia="Calibri" w:cs="Times New Roman"/>
          <w:szCs w:val="22"/>
          <w:lang w:eastAsia="en-US"/>
        </w:rPr>
        <w:t xml:space="preserve"> sur un seul jus de 30</w:t>
      </w:r>
      <w:r w:rsidR="0040739B" w:rsidRPr="002E3ABA">
        <w:rPr>
          <w:rFonts w:eastAsia="Calibri" w:cs="Times New Roman"/>
          <w:szCs w:val="22"/>
          <w:lang w:eastAsia="en-US"/>
        </w:rPr>
        <w:t xml:space="preserve"> fruits tous calibres confondus.</w:t>
      </w:r>
    </w:p>
    <w:p w:rsidR="0040739B" w:rsidRPr="002E3ABA" w:rsidRDefault="0040739B" w:rsidP="00AE2CF7">
      <w:pPr>
        <w:numPr>
          <w:ilvl w:val="0"/>
          <w:numId w:val="24"/>
        </w:numPr>
        <w:suppressAutoHyphens w:val="0"/>
        <w:spacing w:after="200" w:line="276" w:lineRule="auto"/>
        <w:contextualSpacing/>
        <w:jc w:val="both"/>
        <w:rPr>
          <w:rFonts w:eastAsia="Calibri" w:cs="Times New Roman"/>
          <w:szCs w:val="22"/>
          <w:lang w:eastAsia="en-US"/>
        </w:rPr>
      </w:pPr>
      <w:r w:rsidRPr="002E3ABA">
        <w:rPr>
          <w:rFonts w:eastAsia="Calibri" w:cs="Times New Roman"/>
          <w:szCs w:val="22"/>
          <w:lang w:eastAsia="en-US"/>
        </w:rPr>
        <w:t>Le pourcentage de jus</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26</w:t>
      </w:r>
      <w:r w:rsidR="008F72D3">
        <w:rPr>
          <w:noProof/>
        </w:rPr>
        <w:fldChar w:fldCharType="end"/>
      </w:r>
      <w:r w:rsidRPr="005F070D">
        <w:t xml:space="preserve">: </w:t>
      </w:r>
      <w:r w:rsidRPr="002E3ABA">
        <w:t>pourcentage</w:t>
      </w:r>
      <w:r w:rsidRPr="005F070D">
        <w:t xml:space="preserve"> de jus</w:t>
      </w:r>
      <w:r w:rsidR="002568F0" w:rsidRPr="005F070D">
        <w:t xml:space="preserve"> par modalité</w:t>
      </w:r>
    </w:p>
    <w:tbl>
      <w:tblPr>
        <w:tblW w:w="2400" w:type="dxa"/>
        <w:jc w:val="center"/>
        <w:tblBorders>
          <w:top w:val="single" w:sz="8" w:space="0" w:color="8064A2"/>
          <w:bottom w:val="single" w:sz="8" w:space="0" w:color="8064A2"/>
        </w:tblBorders>
        <w:tblLook w:val="04A0" w:firstRow="1" w:lastRow="0" w:firstColumn="1" w:lastColumn="0" w:noHBand="0" w:noVBand="1"/>
      </w:tblPr>
      <w:tblGrid>
        <w:gridCol w:w="1200"/>
        <w:gridCol w:w="1200"/>
      </w:tblGrid>
      <w:tr w:rsidR="002568F0" w:rsidRPr="005F070D" w:rsidTr="00D245A7">
        <w:trPr>
          <w:trHeight w:val="399"/>
          <w:jc w:val="center"/>
        </w:trPr>
        <w:tc>
          <w:tcPr>
            <w:tcW w:w="1200" w:type="dxa"/>
            <w:tcBorders>
              <w:top w:val="single" w:sz="8" w:space="0" w:color="8064A2"/>
              <w:left w:val="nil"/>
              <w:bottom w:val="single" w:sz="8" w:space="0" w:color="8064A2"/>
              <w:right w:val="nil"/>
            </w:tcBorders>
            <w:shd w:val="clear" w:color="auto" w:fill="auto"/>
            <w:noWrap/>
            <w:vAlign w:val="center"/>
            <w:hideMark/>
          </w:tcPr>
          <w:p w:rsidR="002568F0" w:rsidRPr="005F070D" w:rsidRDefault="002568F0"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Modalité</w:t>
            </w:r>
          </w:p>
        </w:tc>
        <w:tc>
          <w:tcPr>
            <w:tcW w:w="1200" w:type="dxa"/>
            <w:tcBorders>
              <w:top w:val="single" w:sz="8" w:space="0" w:color="8064A2"/>
              <w:left w:val="nil"/>
              <w:bottom w:val="single" w:sz="8" w:space="0" w:color="8064A2"/>
              <w:right w:val="nil"/>
            </w:tcBorders>
            <w:shd w:val="clear" w:color="auto" w:fill="auto"/>
            <w:vAlign w:val="center"/>
            <w:hideMark/>
          </w:tcPr>
          <w:p w:rsidR="002568F0" w:rsidRPr="005F070D" w:rsidRDefault="002568F0"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 xml:space="preserve">% de jus </w:t>
            </w:r>
          </w:p>
        </w:tc>
      </w:tr>
      <w:tr w:rsidR="00FA4B3D" w:rsidRPr="005F070D" w:rsidTr="008D657D">
        <w:trPr>
          <w:trHeight w:val="300"/>
          <w:jc w:val="center"/>
        </w:trPr>
        <w:tc>
          <w:tcPr>
            <w:tcW w:w="1200" w:type="dxa"/>
            <w:tcBorders>
              <w:left w:val="nil"/>
              <w:right w:val="nil"/>
            </w:tcBorders>
            <w:shd w:val="clear" w:color="auto" w:fill="DFD8E8"/>
            <w:noWrap/>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LB</w:t>
            </w:r>
          </w:p>
        </w:tc>
        <w:tc>
          <w:tcPr>
            <w:tcW w:w="1200" w:type="dxa"/>
            <w:tcBorders>
              <w:left w:val="nil"/>
              <w:right w:val="nil"/>
            </w:tcBorders>
            <w:shd w:val="clear" w:color="auto" w:fill="DFD8E8"/>
            <w:noWrap/>
            <w:vAlign w:val="bottom"/>
          </w:tcPr>
          <w:p w:rsidR="00FA4B3D" w:rsidRPr="00FA4B3D" w:rsidRDefault="00FA4B3D" w:rsidP="00AE2CF7">
            <w:pPr>
              <w:spacing w:line="276" w:lineRule="auto"/>
              <w:jc w:val="center"/>
              <w:rPr>
                <w:rFonts w:cs="Times New Roman"/>
                <w:color w:val="000000"/>
                <w:szCs w:val="22"/>
              </w:rPr>
            </w:pPr>
            <w:r w:rsidRPr="00FA4B3D">
              <w:rPr>
                <w:rFonts w:cs="Times New Roman"/>
                <w:color w:val="000000"/>
                <w:szCs w:val="22"/>
              </w:rPr>
              <w:t>52%</w:t>
            </w:r>
          </w:p>
        </w:tc>
      </w:tr>
      <w:tr w:rsidR="00FA4B3D" w:rsidRPr="005F070D" w:rsidTr="008D657D">
        <w:trPr>
          <w:trHeight w:val="300"/>
          <w:jc w:val="center"/>
        </w:trPr>
        <w:tc>
          <w:tcPr>
            <w:tcW w:w="1200" w:type="dxa"/>
            <w:shd w:val="clear" w:color="auto" w:fill="auto"/>
            <w:noWrap/>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50%</w:t>
            </w:r>
          </w:p>
        </w:tc>
        <w:tc>
          <w:tcPr>
            <w:tcW w:w="1200" w:type="dxa"/>
            <w:shd w:val="clear" w:color="auto" w:fill="auto"/>
            <w:noWrap/>
            <w:vAlign w:val="bottom"/>
          </w:tcPr>
          <w:p w:rsidR="00FA4B3D" w:rsidRPr="00FA4B3D" w:rsidRDefault="00FA4B3D" w:rsidP="00AE2CF7">
            <w:pPr>
              <w:spacing w:line="276" w:lineRule="auto"/>
              <w:jc w:val="center"/>
              <w:rPr>
                <w:rFonts w:cs="Times New Roman"/>
                <w:color w:val="000000"/>
                <w:szCs w:val="22"/>
              </w:rPr>
            </w:pPr>
            <w:r w:rsidRPr="00FA4B3D">
              <w:rPr>
                <w:rFonts w:cs="Times New Roman"/>
                <w:color w:val="000000"/>
                <w:szCs w:val="22"/>
              </w:rPr>
              <w:t>62%</w:t>
            </w:r>
          </w:p>
        </w:tc>
      </w:tr>
      <w:tr w:rsidR="00FA4B3D" w:rsidRPr="005F070D" w:rsidTr="008D657D">
        <w:trPr>
          <w:trHeight w:val="300"/>
          <w:jc w:val="center"/>
        </w:trPr>
        <w:tc>
          <w:tcPr>
            <w:tcW w:w="1200" w:type="dxa"/>
            <w:tcBorders>
              <w:left w:val="nil"/>
              <w:right w:val="nil"/>
            </w:tcBorders>
            <w:shd w:val="clear" w:color="auto" w:fill="DFD8E8"/>
            <w:noWrap/>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CH</w:t>
            </w:r>
          </w:p>
        </w:tc>
        <w:tc>
          <w:tcPr>
            <w:tcW w:w="1200" w:type="dxa"/>
            <w:tcBorders>
              <w:left w:val="nil"/>
              <w:right w:val="nil"/>
            </w:tcBorders>
            <w:shd w:val="clear" w:color="auto" w:fill="DFD8E8"/>
            <w:noWrap/>
            <w:vAlign w:val="bottom"/>
          </w:tcPr>
          <w:p w:rsidR="00FA4B3D" w:rsidRPr="00FA4B3D" w:rsidRDefault="00FA4B3D" w:rsidP="00AE2CF7">
            <w:pPr>
              <w:spacing w:line="276" w:lineRule="auto"/>
              <w:jc w:val="center"/>
              <w:rPr>
                <w:rFonts w:cs="Times New Roman"/>
                <w:color w:val="000000"/>
                <w:szCs w:val="22"/>
              </w:rPr>
            </w:pPr>
            <w:r w:rsidRPr="00FA4B3D">
              <w:rPr>
                <w:rFonts w:cs="Times New Roman"/>
                <w:color w:val="000000"/>
                <w:szCs w:val="22"/>
              </w:rPr>
              <w:t>56%</w:t>
            </w:r>
          </w:p>
        </w:tc>
      </w:tr>
    </w:tbl>
    <w:p w:rsidR="00F37BDC" w:rsidRDefault="00F37BDC" w:rsidP="00AE2CF7">
      <w:pPr>
        <w:suppressAutoHyphens w:val="0"/>
        <w:spacing w:after="200" w:line="276" w:lineRule="auto"/>
        <w:jc w:val="both"/>
        <w:rPr>
          <w:rFonts w:eastAsia="Calibri" w:cs="Times New Roman"/>
          <w:sz w:val="24"/>
          <w:lang w:eastAsia="en-US"/>
        </w:rPr>
      </w:pPr>
    </w:p>
    <w:p w:rsidR="00F37BDC" w:rsidRPr="005F070D" w:rsidRDefault="00705791" w:rsidP="00AE2CF7">
      <w:pPr>
        <w:spacing w:line="276" w:lineRule="auto"/>
        <w:rPr>
          <w:rFonts w:eastAsia="Calibri"/>
          <w:lang w:eastAsia="en-US"/>
        </w:rPr>
      </w:pPr>
      <w:r>
        <w:rPr>
          <w:rFonts w:eastAsia="Calibri"/>
          <w:lang w:eastAsia="en-US"/>
        </w:rPr>
        <w:t>On remarque une différence de teneur en jus entre la modalité 50% et les deux autres modalités. Cette différence n’est pas due à la baisse d’utilisation des produits phytosanitaires car l’itinéraire technique était le même dans la modalité LB et 50%. De plus, cette différence n’a jamais été o</w:t>
      </w:r>
      <w:r w:rsidR="00F37BDC">
        <w:rPr>
          <w:rFonts w:eastAsia="Calibri"/>
          <w:lang w:eastAsia="en-US"/>
        </w:rPr>
        <w:t>bservée les années précédentes.</w:t>
      </w:r>
    </w:p>
    <w:p w:rsidR="0040739B" w:rsidRPr="002E3ABA" w:rsidRDefault="0040739B" w:rsidP="00AE2CF7">
      <w:pPr>
        <w:numPr>
          <w:ilvl w:val="0"/>
          <w:numId w:val="23"/>
        </w:numPr>
        <w:suppressAutoHyphens w:val="0"/>
        <w:spacing w:after="200" w:line="276" w:lineRule="auto"/>
        <w:contextualSpacing/>
        <w:jc w:val="both"/>
        <w:rPr>
          <w:rFonts w:eastAsia="Calibri" w:cs="Times New Roman"/>
          <w:szCs w:val="22"/>
          <w:lang w:eastAsia="en-US"/>
        </w:rPr>
      </w:pPr>
      <w:r w:rsidRPr="002E3ABA">
        <w:rPr>
          <w:rFonts w:eastAsia="Calibri" w:cs="Times New Roman"/>
          <w:szCs w:val="22"/>
          <w:lang w:eastAsia="en-US"/>
        </w:rPr>
        <w:t>La teneur en sucre</w:t>
      </w:r>
      <w:r w:rsidR="00096FD2" w:rsidRPr="002E3ABA">
        <w:rPr>
          <w:rFonts w:eastAsia="Calibri" w:cs="Times New Roman"/>
          <w:szCs w:val="22"/>
          <w:lang w:eastAsia="en-US"/>
        </w:rPr>
        <w:t xml:space="preserve"> et l’acidité</w:t>
      </w:r>
    </w:p>
    <w:p w:rsidR="002D1677" w:rsidRPr="005F070D" w:rsidRDefault="002D1677" w:rsidP="00AE2CF7">
      <w:pPr>
        <w:suppressAutoHyphens w:val="0"/>
        <w:spacing w:after="200" w:line="276" w:lineRule="auto"/>
        <w:ind w:left="720"/>
        <w:contextualSpacing/>
        <w:jc w:val="both"/>
        <w:rPr>
          <w:rFonts w:eastAsia="Calibri" w:cs="Times New Roman"/>
          <w:sz w:val="24"/>
          <w:lang w:eastAsia="en-US"/>
        </w:rPr>
      </w:pPr>
    </w:p>
    <w:p w:rsidR="008D657D" w:rsidRPr="005F070D" w:rsidRDefault="008D657D" w:rsidP="00AE2CF7">
      <w:pPr>
        <w:keepNext/>
        <w:suppressAutoHyphens w:val="0"/>
        <w:spacing w:after="200" w:line="276" w:lineRule="auto"/>
        <w:jc w:val="center"/>
        <w:rPr>
          <w:rFonts w:eastAsia="Calibri" w:cs="Times New Roman"/>
          <w:sz w:val="24"/>
          <w:lang w:eastAsia="en-US"/>
        </w:rPr>
      </w:pPr>
      <w:r>
        <w:rPr>
          <w:noProof/>
          <w:lang w:eastAsia="fr-FR"/>
        </w:rPr>
        <w:drawing>
          <wp:inline distT="0" distB="0" distL="0" distR="0" wp14:anchorId="210B69B8" wp14:editId="4DE37A3B">
            <wp:extent cx="5040000" cy="2520000"/>
            <wp:effectExtent l="0" t="0" r="27305" b="139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6FD2" w:rsidRDefault="0040739B"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15</w:t>
      </w:r>
      <w:r w:rsidR="008F72D3">
        <w:rPr>
          <w:noProof/>
        </w:rPr>
        <w:fldChar w:fldCharType="end"/>
      </w:r>
      <w:r w:rsidRPr="005F070D">
        <w:t xml:space="preserve"> : </w:t>
      </w:r>
      <w:r w:rsidR="00096FD2" w:rsidRPr="005F070D">
        <w:t>teneur</w:t>
      </w:r>
      <w:r w:rsidRPr="005F070D">
        <w:t xml:space="preserve"> en sucre</w:t>
      </w:r>
      <w:r w:rsidR="00096FD2" w:rsidRPr="005F070D">
        <w:t xml:space="preserve"> (E) et acidité (A) par </w:t>
      </w:r>
      <w:r w:rsidR="00096FD2" w:rsidRPr="002E3ABA">
        <w:t>modalité</w:t>
      </w:r>
    </w:p>
    <w:p w:rsidR="008D657D" w:rsidRDefault="008D657D" w:rsidP="00AE2CF7">
      <w:pPr>
        <w:spacing w:line="276" w:lineRule="auto"/>
        <w:rPr>
          <w:lang w:eastAsia="en-US"/>
        </w:rPr>
      </w:pPr>
      <w:r>
        <w:rPr>
          <w:lang w:eastAsia="en-US"/>
        </w:rPr>
        <w:t xml:space="preserve">La teneur en sucre (E) et l’acidité (A) sont équivalents dans toutes les modalités. </w:t>
      </w:r>
    </w:p>
    <w:p w:rsidR="00AE2CF7" w:rsidRDefault="00AE2CF7" w:rsidP="00AE2CF7">
      <w:pPr>
        <w:spacing w:line="276" w:lineRule="auto"/>
        <w:rPr>
          <w:lang w:eastAsia="en-US"/>
        </w:rPr>
      </w:pPr>
    </w:p>
    <w:p w:rsidR="00AE2CF7" w:rsidRDefault="00AE2CF7" w:rsidP="00AE2CF7">
      <w:pPr>
        <w:spacing w:line="276" w:lineRule="auto"/>
        <w:rPr>
          <w:lang w:eastAsia="en-US"/>
        </w:rPr>
      </w:pPr>
    </w:p>
    <w:p w:rsidR="00431ECC" w:rsidRDefault="00431ECC" w:rsidP="00AE2CF7">
      <w:pPr>
        <w:spacing w:line="276" w:lineRule="auto"/>
        <w:rPr>
          <w:lang w:eastAsia="en-US"/>
        </w:rPr>
      </w:pPr>
    </w:p>
    <w:p w:rsidR="00431ECC" w:rsidRDefault="00431ECC" w:rsidP="00AE2CF7">
      <w:pPr>
        <w:spacing w:line="276" w:lineRule="auto"/>
        <w:rPr>
          <w:lang w:eastAsia="en-US"/>
        </w:rPr>
      </w:pPr>
    </w:p>
    <w:p w:rsidR="00431ECC" w:rsidRPr="008D657D" w:rsidRDefault="00431ECC" w:rsidP="00AE2CF7">
      <w:pPr>
        <w:spacing w:line="276" w:lineRule="auto"/>
        <w:rPr>
          <w:lang w:eastAsia="en-US"/>
        </w:rPr>
      </w:pPr>
    </w:p>
    <w:p w:rsidR="00B7708D" w:rsidRPr="00FA4B3D" w:rsidRDefault="00FA4B3D" w:rsidP="00AE2CF7">
      <w:pPr>
        <w:suppressAutoHyphens w:val="0"/>
        <w:spacing w:after="200" w:line="276" w:lineRule="auto"/>
        <w:jc w:val="both"/>
        <w:rPr>
          <w:rFonts w:eastAsia="Calibri" w:cs="Times New Roman"/>
          <w:color w:val="00B050"/>
          <w:sz w:val="24"/>
          <w:lang w:eastAsia="en-US"/>
        </w:rPr>
      </w:pPr>
      <w:r w:rsidRPr="00FA4B3D">
        <w:rPr>
          <w:rFonts w:eastAsia="Calibri" w:cs="Times New Roman"/>
          <w:color w:val="00B050"/>
          <w:sz w:val="24"/>
          <w:lang w:eastAsia="en-US"/>
        </w:rPr>
        <w:lastRenderedPageBreak/>
        <w:t>Kiwi 2012</w:t>
      </w:r>
    </w:p>
    <w:p w:rsidR="00FA4B3D" w:rsidRPr="002E3ABA" w:rsidRDefault="00FA4B3D" w:rsidP="00AE2CF7">
      <w:pPr>
        <w:numPr>
          <w:ilvl w:val="0"/>
          <w:numId w:val="24"/>
        </w:numPr>
        <w:suppressAutoHyphens w:val="0"/>
        <w:spacing w:after="200" w:line="276" w:lineRule="auto"/>
        <w:contextualSpacing/>
        <w:jc w:val="both"/>
        <w:rPr>
          <w:rFonts w:eastAsia="Calibri" w:cs="Times New Roman"/>
          <w:szCs w:val="22"/>
          <w:lang w:eastAsia="en-US"/>
        </w:rPr>
      </w:pPr>
      <w:r w:rsidRPr="002E3ABA">
        <w:rPr>
          <w:rFonts w:eastAsia="Calibri" w:cs="Times New Roman"/>
          <w:szCs w:val="22"/>
          <w:lang w:eastAsia="en-US"/>
        </w:rPr>
        <w:t>Le pourcentage de jus</w:t>
      </w:r>
    </w:p>
    <w:p w:rsidR="00FA4B3D" w:rsidRPr="005F070D" w:rsidRDefault="00FA4B3D" w:rsidP="00AE2CF7">
      <w:pPr>
        <w:pStyle w:val="Lgende"/>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27</w:t>
      </w:r>
      <w:r w:rsidR="008F72D3">
        <w:rPr>
          <w:noProof/>
        </w:rPr>
        <w:fldChar w:fldCharType="end"/>
      </w:r>
      <w:r>
        <w:t xml:space="preserve"> : pourcentage de jus par modalité</w:t>
      </w:r>
    </w:p>
    <w:tbl>
      <w:tblPr>
        <w:tblW w:w="2400" w:type="dxa"/>
        <w:jc w:val="center"/>
        <w:tblBorders>
          <w:top w:val="single" w:sz="8" w:space="0" w:color="8064A2"/>
          <w:bottom w:val="single" w:sz="8" w:space="0" w:color="8064A2"/>
        </w:tblBorders>
        <w:tblLook w:val="04A0" w:firstRow="1" w:lastRow="0" w:firstColumn="1" w:lastColumn="0" w:noHBand="0" w:noVBand="1"/>
      </w:tblPr>
      <w:tblGrid>
        <w:gridCol w:w="1200"/>
        <w:gridCol w:w="1200"/>
      </w:tblGrid>
      <w:tr w:rsidR="00FA4B3D" w:rsidRPr="005F070D" w:rsidTr="008D657D">
        <w:trPr>
          <w:trHeight w:val="399"/>
          <w:jc w:val="center"/>
        </w:trPr>
        <w:tc>
          <w:tcPr>
            <w:tcW w:w="1200" w:type="dxa"/>
            <w:tcBorders>
              <w:top w:val="single" w:sz="8" w:space="0" w:color="8064A2"/>
              <w:left w:val="nil"/>
              <w:bottom w:val="single" w:sz="8" w:space="0" w:color="8064A2"/>
              <w:right w:val="nil"/>
            </w:tcBorders>
            <w:shd w:val="clear" w:color="auto" w:fill="auto"/>
            <w:noWrap/>
            <w:vAlign w:val="center"/>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Modalité</w:t>
            </w:r>
          </w:p>
        </w:tc>
        <w:tc>
          <w:tcPr>
            <w:tcW w:w="1200" w:type="dxa"/>
            <w:tcBorders>
              <w:top w:val="single" w:sz="8" w:space="0" w:color="8064A2"/>
              <w:left w:val="nil"/>
              <w:bottom w:val="single" w:sz="8" w:space="0" w:color="8064A2"/>
              <w:right w:val="nil"/>
            </w:tcBorders>
            <w:shd w:val="clear" w:color="auto" w:fill="auto"/>
            <w:vAlign w:val="center"/>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 xml:space="preserve">% de jus </w:t>
            </w:r>
          </w:p>
        </w:tc>
      </w:tr>
      <w:tr w:rsidR="00FA4B3D" w:rsidRPr="005F070D" w:rsidTr="008D657D">
        <w:trPr>
          <w:trHeight w:val="300"/>
          <w:jc w:val="center"/>
        </w:trPr>
        <w:tc>
          <w:tcPr>
            <w:tcW w:w="1200" w:type="dxa"/>
            <w:tcBorders>
              <w:left w:val="nil"/>
              <w:right w:val="nil"/>
            </w:tcBorders>
            <w:shd w:val="clear" w:color="auto" w:fill="DFD8E8"/>
            <w:noWrap/>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LB</w:t>
            </w:r>
          </w:p>
        </w:tc>
        <w:tc>
          <w:tcPr>
            <w:tcW w:w="1200" w:type="dxa"/>
            <w:tcBorders>
              <w:left w:val="nil"/>
              <w:right w:val="nil"/>
            </w:tcBorders>
            <w:shd w:val="clear" w:color="auto" w:fill="DFD8E8"/>
            <w:noWrap/>
            <w:vAlign w:val="bottom"/>
          </w:tcPr>
          <w:p w:rsidR="00FA4B3D" w:rsidRPr="00FA4B3D" w:rsidRDefault="00FA4B3D" w:rsidP="00AE2CF7">
            <w:pPr>
              <w:spacing w:line="276" w:lineRule="auto"/>
              <w:jc w:val="center"/>
              <w:rPr>
                <w:rFonts w:cs="Times New Roman"/>
                <w:color w:val="000000"/>
                <w:szCs w:val="22"/>
              </w:rPr>
            </w:pPr>
            <w:r w:rsidRPr="00FA4B3D">
              <w:rPr>
                <w:rFonts w:cs="Times New Roman"/>
                <w:color w:val="000000"/>
                <w:szCs w:val="22"/>
              </w:rPr>
              <w:t>60%</w:t>
            </w:r>
          </w:p>
        </w:tc>
      </w:tr>
      <w:tr w:rsidR="00FA4B3D" w:rsidRPr="005F070D" w:rsidTr="008D657D">
        <w:trPr>
          <w:trHeight w:val="300"/>
          <w:jc w:val="center"/>
        </w:trPr>
        <w:tc>
          <w:tcPr>
            <w:tcW w:w="1200" w:type="dxa"/>
            <w:shd w:val="clear" w:color="auto" w:fill="auto"/>
            <w:noWrap/>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50%</w:t>
            </w:r>
          </w:p>
        </w:tc>
        <w:tc>
          <w:tcPr>
            <w:tcW w:w="1200" w:type="dxa"/>
            <w:shd w:val="clear" w:color="auto" w:fill="auto"/>
            <w:noWrap/>
            <w:vAlign w:val="bottom"/>
          </w:tcPr>
          <w:p w:rsidR="00FA4B3D" w:rsidRPr="00FA4B3D" w:rsidRDefault="00FA4B3D" w:rsidP="00AE2CF7">
            <w:pPr>
              <w:spacing w:line="276" w:lineRule="auto"/>
              <w:jc w:val="center"/>
              <w:rPr>
                <w:rFonts w:cs="Times New Roman"/>
                <w:color w:val="000000"/>
                <w:szCs w:val="22"/>
              </w:rPr>
            </w:pPr>
            <w:r w:rsidRPr="00FA4B3D">
              <w:rPr>
                <w:rFonts w:cs="Times New Roman"/>
                <w:color w:val="000000"/>
                <w:szCs w:val="22"/>
              </w:rPr>
              <w:t>59%</w:t>
            </w:r>
          </w:p>
        </w:tc>
      </w:tr>
      <w:tr w:rsidR="00FA4B3D" w:rsidRPr="005F070D" w:rsidTr="008D657D">
        <w:trPr>
          <w:trHeight w:val="300"/>
          <w:jc w:val="center"/>
        </w:trPr>
        <w:tc>
          <w:tcPr>
            <w:tcW w:w="1200" w:type="dxa"/>
            <w:tcBorders>
              <w:left w:val="nil"/>
              <w:right w:val="nil"/>
            </w:tcBorders>
            <w:shd w:val="clear" w:color="auto" w:fill="DFD8E8"/>
            <w:noWrap/>
            <w:hideMark/>
          </w:tcPr>
          <w:p w:rsidR="00FA4B3D" w:rsidRPr="005F070D" w:rsidRDefault="00FA4B3D" w:rsidP="00AE2CF7">
            <w:pPr>
              <w:suppressAutoHyphens w:val="0"/>
              <w:spacing w:after="0" w:line="276" w:lineRule="auto"/>
              <w:jc w:val="center"/>
              <w:rPr>
                <w:rFonts w:eastAsia="Calibri" w:cs="Times New Roman"/>
                <w:bCs/>
                <w:color w:val="000000"/>
                <w:sz w:val="24"/>
                <w:lang w:eastAsia="fr-FR"/>
              </w:rPr>
            </w:pPr>
            <w:r w:rsidRPr="005F070D">
              <w:rPr>
                <w:rFonts w:eastAsia="Calibri" w:cs="Times New Roman"/>
                <w:bCs/>
                <w:color w:val="000000"/>
                <w:sz w:val="24"/>
                <w:lang w:eastAsia="fr-FR"/>
              </w:rPr>
              <w:t>CH</w:t>
            </w:r>
          </w:p>
        </w:tc>
        <w:tc>
          <w:tcPr>
            <w:tcW w:w="1200" w:type="dxa"/>
            <w:tcBorders>
              <w:left w:val="nil"/>
              <w:right w:val="nil"/>
            </w:tcBorders>
            <w:shd w:val="clear" w:color="auto" w:fill="DFD8E8"/>
            <w:noWrap/>
            <w:vAlign w:val="bottom"/>
          </w:tcPr>
          <w:p w:rsidR="00FA4B3D" w:rsidRPr="00FA4B3D" w:rsidRDefault="00FA4B3D" w:rsidP="00AE2CF7">
            <w:pPr>
              <w:spacing w:line="276" w:lineRule="auto"/>
              <w:jc w:val="center"/>
              <w:rPr>
                <w:rFonts w:cs="Times New Roman"/>
                <w:color w:val="000000"/>
                <w:szCs w:val="22"/>
              </w:rPr>
            </w:pPr>
            <w:r w:rsidRPr="00FA4B3D">
              <w:rPr>
                <w:rFonts w:cs="Times New Roman"/>
                <w:color w:val="000000"/>
                <w:szCs w:val="22"/>
              </w:rPr>
              <w:t>59%</w:t>
            </w:r>
          </w:p>
        </w:tc>
      </w:tr>
    </w:tbl>
    <w:p w:rsidR="00C932F3" w:rsidRDefault="00C932F3" w:rsidP="00AE2CF7">
      <w:pPr>
        <w:suppressAutoHyphens w:val="0"/>
        <w:spacing w:after="200" w:line="276" w:lineRule="auto"/>
        <w:jc w:val="both"/>
        <w:rPr>
          <w:rFonts w:eastAsia="Calibri" w:cs="Times New Roman"/>
          <w:sz w:val="24"/>
          <w:lang w:eastAsia="en-US"/>
        </w:rPr>
      </w:pPr>
    </w:p>
    <w:p w:rsidR="00C932F3" w:rsidRDefault="00C932F3" w:rsidP="00AE2CF7">
      <w:pPr>
        <w:suppressAutoHyphens w:val="0"/>
        <w:spacing w:after="200" w:line="276" w:lineRule="auto"/>
        <w:jc w:val="both"/>
        <w:rPr>
          <w:rFonts w:eastAsia="Calibri" w:cs="Times New Roman"/>
          <w:sz w:val="24"/>
          <w:lang w:eastAsia="en-US"/>
        </w:rPr>
      </w:pPr>
      <w:r>
        <w:rPr>
          <w:rFonts w:eastAsia="Calibri" w:cs="Times New Roman"/>
          <w:sz w:val="24"/>
          <w:lang w:eastAsia="en-US"/>
        </w:rPr>
        <w:t>Le pourcentage de jus est le même dans toutes les modalités.</w:t>
      </w:r>
    </w:p>
    <w:p w:rsidR="006678DD" w:rsidRPr="005F070D" w:rsidRDefault="006678DD" w:rsidP="00AE2CF7">
      <w:pPr>
        <w:suppressAutoHyphens w:val="0"/>
        <w:spacing w:after="200" w:line="276" w:lineRule="auto"/>
        <w:jc w:val="both"/>
        <w:rPr>
          <w:rFonts w:eastAsia="Calibri" w:cs="Times New Roman"/>
          <w:sz w:val="24"/>
          <w:lang w:eastAsia="en-US"/>
        </w:rPr>
      </w:pPr>
    </w:p>
    <w:p w:rsidR="00FA4B3D" w:rsidRPr="002E3ABA" w:rsidRDefault="00FA4B3D" w:rsidP="00AE2CF7">
      <w:pPr>
        <w:numPr>
          <w:ilvl w:val="0"/>
          <w:numId w:val="23"/>
        </w:numPr>
        <w:suppressAutoHyphens w:val="0"/>
        <w:spacing w:after="200" w:line="276" w:lineRule="auto"/>
        <w:contextualSpacing/>
        <w:jc w:val="both"/>
        <w:rPr>
          <w:rFonts w:eastAsia="Calibri" w:cs="Times New Roman"/>
          <w:szCs w:val="22"/>
          <w:lang w:eastAsia="en-US"/>
        </w:rPr>
      </w:pPr>
      <w:r w:rsidRPr="002E3ABA">
        <w:rPr>
          <w:rFonts w:eastAsia="Calibri" w:cs="Times New Roman"/>
          <w:szCs w:val="22"/>
          <w:lang w:eastAsia="en-US"/>
        </w:rPr>
        <w:t>La teneur en sucre et l’acidité</w:t>
      </w:r>
    </w:p>
    <w:p w:rsidR="00F37BDC" w:rsidRDefault="00F37BDC" w:rsidP="00AE2CF7">
      <w:pPr>
        <w:keepNext/>
        <w:suppressAutoHyphens w:val="0"/>
        <w:spacing w:after="200" w:line="276" w:lineRule="auto"/>
        <w:jc w:val="center"/>
      </w:pPr>
      <w:r>
        <w:rPr>
          <w:noProof/>
          <w:lang w:eastAsia="fr-FR"/>
        </w:rPr>
        <w:drawing>
          <wp:inline distT="0" distB="0" distL="0" distR="0" wp14:anchorId="2AD500BA" wp14:editId="4889AA80">
            <wp:extent cx="5040000" cy="2520000"/>
            <wp:effectExtent l="0" t="0" r="27305" b="139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0414" w:rsidRDefault="00F37BDC" w:rsidP="00AE2CF7">
      <w:pPr>
        <w:pStyle w:val="Lgende"/>
        <w:spacing w:line="276" w:lineRule="auto"/>
        <w:jc w:val="center"/>
      </w:pPr>
      <w:r>
        <w:t xml:space="preserve">Figure </w:t>
      </w:r>
      <w:r w:rsidR="008F72D3">
        <w:fldChar w:fldCharType="begin"/>
      </w:r>
      <w:r w:rsidR="008F72D3">
        <w:instrText xml:space="preserve"> SEQ Figure \* ARABIC </w:instrText>
      </w:r>
      <w:r w:rsidR="008F72D3">
        <w:fldChar w:fldCharType="separate"/>
      </w:r>
      <w:r w:rsidR="00DA2B09">
        <w:rPr>
          <w:noProof/>
        </w:rPr>
        <w:t>16</w:t>
      </w:r>
      <w:r w:rsidR="008F72D3">
        <w:rPr>
          <w:noProof/>
        </w:rPr>
        <w:fldChar w:fldCharType="end"/>
      </w:r>
      <w:r>
        <w:t xml:space="preserve"> : teneur en sucre (E) et acidité (A) par modalité</w:t>
      </w:r>
    </w:p>
    <w:p w:rsidR="00C932F3" w:rsidRPr="00C932F3" w:rsidRDefault="00C932F3" w:rsidP="00AE2CF7">
      <w:pPr>
        <w:spacing w:line="276" w:lineRule="auto"/>
        <w:jc w:val="both"/>
        <w:rPr>
          <w:rFonts w:eastAsia="Calibri"/>
          <w:lang w:eastAsia="en-US"/>
        </w:rPr>
      </w:pPr>
      <w:r>
        <w:rPr>
          <w:rFonts w:eastAsia="Calibri"/>
          <w:lang w:eastAsia="en-US"/>
        </w:rPr>
        <w:t xml:space="preserve">La teneur en jus est légèrement plus importante dans la modalité CH que dans les autres modalités. Mais toutes les modalités ont été récoltées avec la teneur en sucre minimale. L’acidité est légèrement </w:t>
      </w:r>
      <w:r w:rsidR="006678DD">
        <w:rPr>
          <w:rFonts w:eastAsia="Calibri"/>
          <w:lang w:eastAsia="en-US"/>
        </w:rPr>
        <w:t>inférieure</w:t>
      </w:r>
      <w:r>
        <w:rPr>
          <w:rFonts w:eastAsia="Calibri"/>
          <w:lang w:eastAsia="en-US"/>
        </w:rPr>
        <w:t xml:space="preserve"> dans la modalité LB par rapport aux autres mais cette différence n’est pas imputable à la diminution d’intrants.</w:t>
      </w:r>
    </w:p>
    <w:p w:rsidR="0040739B" w:rsidRPr="005F070D" w:rsidRDefault="0040739B" w:rsidP="00AE2CF7">
      <w:pPr>
        <w:suppressAutoHyphens w:val="0"/>
        <w:spacing w:after="200" w:line="276" w:lineRule="auto"/>
        <w:jc w:val="both"/>
        <w:rPr>
          <w:rFonts w:eastAsia="Calibri" w:cs="Times New Roman"/>
          <w:b/>
          <w:sz w:val="24"/>
          <w:lang w:eastAsia="en-US"/>
        </w:rPr>
      </w:pPr>
      <w:r w:rsidRPr="005F070D">
        <w:rPr>
          <w:rFonts w:eastAsia="Calibri" w:cs="Times New Roman"/>
          <w:b/>
          <w:sz w:val="24"/>
          <w:lang w:eastAsia="en-US"/>
        </w:rPr>
        <w:t>Les indicateurs économiques</w:t>
      </w:r>
    </w:p>
    <w:p w:rsidR="008D657D" w:rsidRDefault="0040739B" w:rsidP="00AE2CF7">
      <w:pPr>
        <w:suppressAutoHyphens w:val="0"/>
        <w:spacing w:after="200" w:line="276" w:lineRule="auto"/>
        <w:jc w:val="both"/>
        <w:rPr>
          <w:rFonts w:eastAsia="Calibri" w:cs="Times New Roman"/>
          <w:szCs w:val="22"/>
          <w:lang w:eastAsia="en-US"/>
        </w:rPr>
      </w:pPr>
      <w:r w:rsidRPr="005F070D">
        <w:rPr>
          <w:rFonts w:eastAsia="Calibri" w:cs="Times New Roman"/>
          <w:sz w:val="24"/>
          <w:u w:val="single"/>
          <w:lang w:eastAsia="en-US"/>
        </w:rPr>
        <w:t>La récolte</w:t>
      </w:r>
      <w:r w:rsidR="002568F0" w:rsidRPr="005F070D">
        <w:rPr>
          <w:rFonts w:eastAsia="Calibri" w:cs="Times New Roman"/>
          <w:sz w:val="24"/>
          <w:u w:val="single"/>
          <w:lang w:eastAsia="en-US"/>
        </w:rPr>
        <w:t xml:space="preserve"> et les écarts</w:t>
      </w:r>
      <w:r w:rsidR="008D657D" w:rsidRPr="008D657D">
        <w:rPr>
          <w:rFonts w:eastAsia="Calibri" w:cs="Times New Roman"/>
          <w:szCs w:val="22"/>
          <w:lang w:eastAsia="en-US"/>
        </w:rPr>
        <w:t xml:space="preserve"> </w:t>
      </w:r>
    </w:p>
    <w:p w:rsidR="0040739B" w:rsidRDefault="008D657D" w:rsidP="00AE2CF7">
      <w:pPr>
        <w:suppressAutoHyphens w:val="0"/>
        <w:spacing w:after="200" w:line="276" w:lineRule="auto"/>
        <w:jc w:val="both"/>
        <w:rPr>
          <w:rFonts w:eastAsia="Calibri" w:cs="Times New Roman"/>
          <w:szCs w:val="22"/>
          <w:lang w:eastAsia="en-US"/>
        </w:rPr>
      </w:pPr>
      <w:r w:rsidRPr="002E3ABA">
        <w:rPr>
          <w:rFonts w:eastAsia="Calibri" w:cs="Times New Roman"/>
          <w:szCs w:val="22"/>
          <w:lang w:eastAsia="en-US"/>
        </w:rPr>
        <w:t>La récolte a été calibrée dans la station de conditio</w:t>
      </w:r>
      <w:r w:rsidR="00450393">
        <w:rPr>
          <w:rFonts w:eastAsia="Calibri" w:cs="Times New Roman"/>
          <w:szCs w:val="22"/>
          <w:lang w:eastAsia="en-US"/>
        </w:rPr>
        <w:t>nnement FRUITICOR, à Moriani (commune de San Nicolao, 2b</w:t>
      </w:r>
      <w:r w:rsidRPr="002E3ABA">
        <w:rPr>
          <w:rFonts w:eastAsia="Calibri" w:cs="Times New Roman"/>
          <w:szCs w:val="22"/>
          <w:lang w:eastAsia="en-US"/>
        </w:rPr>
        <w:t>).</w:t>
      </w:r>
      <w:r>
        <w:rPr>
          <w:rFonts w:eastAsia="Calibri" w:cs="Times New Roman"/>
          <w:szCs w:val="22"/>
          <w:lang w:eastAsia="en-US"/>
        </w:rPr>
        <w:t xml:space="preserve"> Elle est déclenchée lorsque la teneur en jus est </w:t>
      </w:r>
      <w:r w:rsidR="00C932F3">
        <w:rPr>
          <w:rFonts w:eastAsia="Calibri" w:cs="Times New Roman"/>
          <w:szCs w:val="22"/>
          <w:lang w:eastAsia="en-US"/>
        </w:rPr>
        <w:t>supérieure</w:t>
      </w:r>
      <w:r w:rsidR="0063363B">
        <w:rPr>
          <w:rFonts w:eastAsia="Calibri" w:cs="Times New Roman"/>
          <w:szCs w:val="22"/>
          <w:lang w:eastAsia="en-US"/>
        </w:rPr>
        <w:t xml:space="preserve"> à 7° Brix (fig.13 et 14</w:t>
      </w:r>
      <w:r>
        <w:rPr>
          <w:rFonts w:eastAsia="Calibri" w:cs="Times New Roman"/>
          <w:szCs w:val="22"/>
          <w:lang w:eastAsia="en-US"/>
        </w:rPr>
        <w:t>).</w:t>
      </w:r>
    </w:p>
    <w:p w:rsidR="000F45AE" w:rsidRDefault="000F45AE" w:rsidP="00AE2CF7">
      <w:pPr>
        <w:suppressAutoHyphens w:val="0"/>
        <w:spacing w:after="200" w:line="276" w:lineRule="auto"/>
        <w:jc w:val="both"/>
        <w:rPr>
          <w:rFonts w:eastAsia="Calibri" w:cs="Times New Roman"/>
          <w:szCs w:val="22"/>
          <w:lang w:eastAsia="en-US"/>
        </w:rPr>
      </w:pPr>
    </w:p>
    <w:p w:rsidR="000F45AE" w:rsidRDefault="000F45AE" w:rsidP="00AE2CF7">
      <w:pPr>
        <w:suppressAutoHyphens w:val="0"/>
        <w:spacing w:after="200" w:line="276" w:lineRule="auto"/>
        <w:jc w:val="both"/>
        <w:rPr>
          <w:rFonts w:eastAsia="Calibri" w:cs="Times New Roman"/>
          <w:szCs w:val="22"/>
          <w:lang w:eastAsia="en-US"/>
        </w:rPr>
      </w:pPr>
    </w:p>
    <w:p w:rsidR="000F45AE" w:rsidRPr="008D657D" w:rsidRDefault="000F45AE" w:rsidP="00AE2CF7">
      <w:pPr>
        <w:suppressAutoHyphens w:val="0"/>
        <w:spacing w:after="200" w:line="276" w:lineRule="auto"/>
        <w:jc w:val="both"/>
        <w:rPr>
          <w:rFonts w:eastAsia="Calibri" w:cs="Times New Roman"/>
          <w:szCs w:val="22"/>
          <w:lang w:eastAsia="en-US"/>
        </w:rPr>
      </w:pPr>
    </w:p>
    <w:p w:rsidR="000902B3" w:rsidRPr="000902B3" w:rsidRDefault="000902B3" w:rsidP="00AE2CF7">
      <w:pPr>
        <w:suppressAutoHyphens w:val="0"/>
        <w:spacing w:after="200" w:line="276" w:lineRule="auto"/>
        <w:rPr>
          <w:rFonts w:eastAsia="Calibri" w:cs="Times New Roman"/>
          <w:color w:val="00B050"/>
          <w:sz w:val="24"/>
          <w:lang w:eastAsia="en-US"/>
        </w:rPr>
      </w:pPr>
      <w:r w:rsidRPr="000902B3">
        <w:rPr>
          <w:rFonts w:eastAsia="Calibri" w:cs="Times New Roman"/>
          <w:color w:val="00B050"/>
          <w:sz w:val="24"/>
          <w:lang w:eastAsia="en-US"/>
        </w:rPr>
        <w:lastRenderedPageBreak/>
        <w:t>Kiwi 2004</w:t>
      </w:r>
    </w:p>
    <w:p w:rsidR="00CA7105" w:rsidRPr="002E3ABA" w:rsidRDefault="00872116" w:rsidP="00AE2CF7">
      <w:pPr>
        <w:suppressAutoHyphens w:val="0"/>
        <w:spacing w:after="200" w:line="276" w:lineRule="auto"/>
        <w:rPr>
          <w:rFonts w:eastAsia="Calibri" w:cs="Times New Roman"/>
          <w:szCs w:val="22"/>
          <w:lang w:eastAsia="en-US"/>
        </w:rPr>
      </w:pPr>
      <w:r w:rsidRPr="002E3ABA">
        <w:rPr>
          <w:rFonts w:eastAsia="Calibri" w:cs="Times New Roman"/>
          <w:szCs w:val="22"/>
          <w:lang w:eastAsia="en-US"/>
        </w:rPr>
        <w:t>La récolte a débuté le 12 novembre et s’est terminée le 19 novembre</w:t>
      </w:r>
      <w:r w:rsidR="00CA7105" w:rsidRPr="002E3ABA">
        <w:rPr>
          <w:rFonts w:eastAsia="Calibri" w:cs="Times New Roman"/>
          <w:szCs w:val="22"/>
          <w:lang w:eastAsia="en-US"/>
        </w:rPr>
        <w:t>.</w:t>
      </w:r>
    </w:p>
    <w:p w:rsidR="0040739B" w:rsidRPr="005F070D" w:rsidRDefault="00854390" w:rsidP="00AE2CF7">
      <w:pPr>
        <w:keepNext/>
        <w:suppressAutoHyphens w:val="0"/>
        <w:spacing w:after="200" w:line="276" w:lineRule="auto"/>
        <w:jc w:val="center"/>
        <w:rPr>
          <w:rFonts w:eastAsia="Calibri" w:cs="Times New Roman"/>
          <w:sz w:val="24"/>
          <w:lang w:eastAsia="en-US"/>
        </w:rPr>
      </w:pPr>
      <w:r>
        <w:rPr>
          <w:noProof/>
          <w:lang w:eastAsia="fr-FR"/>
        </w:rPr>
        <w:drawing>
          <wp:inline distT="0" distB="0" distL="0" distR="0" wp14:anchorId="645EBC8D" wp14:editId="21745513">
            <wp:extent cx="5040000" cy="2520000"/>
            <wp:effectExtent l="0" t="0" r="27305" b="13970"/>
            <wp:docPr id="160" name="Graphique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739B" w:rsidRPr="005F070D" w:rsidRDefault="0040739B"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17</w:t>
      </w:r>
      <w:r w:rsidR="008F72D3">
        <w:rPr>
          <w:noProof/>
        </w:rPr>
        <w:fldChar w:fldCharType="end"/>
      </w:r>
      <w:r w:rsidR="00CA7105" w:rsidRPr="005F070D">
        <w:t xml:space="preserve"> :</w:t>
      </w:r>
      <w:r w:rsidRPr="005F070D">
        <w:t xml:space="preserve"> rendements </w:t>
      </w:r>
      <w:r w:rsidR="000902B3">
        <w:t xml:space="preserve">et écarts </w:t>
      </w:r>
      <w:r w:rsidR="00CA7105" w:rsidRPr="005F070D">
        <w:t xml:space="preserve">par modalité </w:t>
      </w:r>
      <w:r w:rsidRPr="005F070D">
        <w:t>de la parcelle de kiwis</w:t>
      </w:r>
      <w:r w:rsidR="000902B3">
        <w:t xml:space="preserve"> 2004</w:t>
      </w:r>
    </w:p>
    <w:p w:rsidR="00C932F3" w:rsidRDefault="00413066" w:rsidP="00AE2CF7">
      <w:pPr>
        <w:suppressAutoHyphens w:val="0"/>
        <w:spacing w:after="200" w:line="276" w:lineRule="auto"/>
        <w:jc w:val="both"/>
        <w:rPr>
          <w:rFonts w:eastAsia="Calibri" w:cs="Times New Roman"/>
          <w:szCs w:val="22"/>
          <w:lang w:eastAsia="en-US"/>
        </w:rPr>
      </w:pPr>
      <w:r w:rsidRPr="002E3ABA">
        <w:rPr>
          <w:rFonts w:eastAsia="Calibri" w:cs="Times New Roman"/>
          <w:szCs w:val="22"/>
          <w:lang w:eastAsia="en-US"/>
        </w:rPr>
        <w:t xml:space="preserve">Cette année se caractérise par des rendements </w:t>
      </w:r>
      <w:r w:rsidR="00854390">
        <w:rPr>
          <w:rFonts w:eastAsia="Calibri" w:cs="Times New Roman"/>
          <w:szCs w:val="22"/>
          <w:lang w:eastAsia="en-US"/>
        </w:rPr>
        <w:t>en hausse par rapport à l’année précédente</w:t>
      </w:r>
      <w:r w:rsidRPr="002E3ABA">
        <w:rPr>
          <w:rFonts w:eastAsia="Calibri" w:cs="Times New Roman"/>
          <w:szCs w:val="22"/>
          <w:lang w:eastAsia="en-US"/>
        </w:rPr>
        <w:t xml:space="preserve">. </w:t>
      </w:r>
      <w:r w:rsidR="008F61C9" w:rsidRPr="002E3ABA">
        <w:rPr>
          <w:rFonts w:eastAsia="Calibri" w:cs="Times New Roman"/>
          <w:szCs w:val="22"/>
          <w:lang w:eastAsia="en-US"/>
        </w:rPr>
        <w:t>Les rendements sont sensiblement les mêm</w:t>
      </w:r>
      <w:r w:rsidRPr="002E3ABA">
        <w:rPr>
          <w:rFonts w:eastAsia="Calibri" w:cs="Times New Roman"/>
          <w:szCs w:val="22"/>
          <w:lang w:eastAsia="en-US"/>
        </w:rPr>
        <w:t xml:space="preserve">es, quelle que soit la modalité, autour de </w:t>
      </w:r>
      <w:r w:rsidR="00854390">
        <w:rPr>
          <w:rFonts w:eastAsia="Calibri" w:cs="Times New Roman"/>
          <w:szCs w:val="22"/>
          <w:lang w:eastAsia="en-US"/>
        </w:rPr>
        <w:t>22</w:t>
      </w:r>
      <w:r w:rsidRPr="002E3ABA">
        <w:rPr>
          <w:rFonts w:eastAsia="Calibri" w:cs="Times New Roman"/>
          <w:szCs w:val="22"/>
          <w:lang w:eastAsia="en-US"/>
        </w:rPr>
        <w:t xml:space="preserve"> tonnes/hectare</w:t>
      </w:r>
      <w:r w:rsidR="008F61C9" w:rsidRPr="002E3ABA">
        <w:rPr>
          <w:rFonts w:eastAsia="Calibri" w:cs="Times New Roman"/>
          <w:szCs w:val="22"/>
          <w:lang w:eastAsia="en-US"/>
        </w:rPr>
        <w:t>.</w:t>
      </w:r>
      <w:r w:rsidR="002568F0" w:rsidRPr="002E3ABA">
        <w:rPr>
          <w:rFonts w:eastAsia="Calibri" w:cs="Times New Roman"/>
          <w:szCs w:val="22"/>
          <w:lang w:eastAsia="en-US"/>
        </w:rPr>
        <w:t xml:space="preserve"> L</w:t>
      </w:r>
      <w:r w:rsidR="0040739B" w:rsidRPr="002E3ABA">
        <w:rPr>
          <w:rFonts w:eastAsia="Calibri" w:cs="Times New Roman"/>
          <w:szCs w:val="22"/>
          <w:lang w:eastAsia="en-US"/>
        </w:rPr>
        <w:t xml:space="preserve">a modalité </w:t>
      </w:r>
      <w:r w:rsidR="008F61C9" w:rsidRPr="002E3ABA">
        <w:rPr>
          <w:rFonts w:eastAsia="Calibri" w:cs="Times New Roman"/>
          <w:szCs w:val="22"/>
          <w:lang w:eastAsia="en-US"/>
        </w:rPr>
        <w:t>chimique</w:t>
      </w:r>
      <w:r w:rsidR="0040739B" w:rsidRPr="002E3ABA">
        <w:rPr>
          <w:rFonts w:eastAsia="Calibri" w:cs="Times New Roman"/>
          <w:szCs w:val="22"/>
          <w:lang w:eastAsia="en-US"/>
        </w:rPr>
        <w:t xml:space="preserve"> obtient </w:t>
      </w:r>
      <w:r w:rsidR="00854390">
        <w:rPr>
          <w:rFonts w:eastAsia="Calibri" w:cs="Times New Roman"/>
          <w:szCs w:val="22"/>
          <w:lang w:eastAsia="en-US"/>
        </w:rPr>
        <w:t xml:space="preserve">le plus d’écarts de triage </w:t>
      </w:r>
      <w:r w:rsidR="008F61C9" w:rsidRPr="002E3ABA">
        <w:rPr>
          <w:rFonts w:eastAsia="Calibri" w:cs="Times New Roman"/>
          <w:szCs w:val="22"/>
          <w:lang w:eastAsia="en-US"/>
        </w:rPr>
        <w:t>parmi toutes les modalités</w:t>
      </w:r>
      <w:r w:rsidR="0040739B" w:rsidRPr="002E3ABA">
        <w:rPr>
          <w:rFonts w:eastAsia="Calibri" w:cs="Times New Roman"/>
          <w:szCs w:val="22"/>
          <w:lang w:eastAsia="en-US"/>
        </w:rPr>
        <w:t xml:space="preserve">. </w:t>
      </w:r>
      <w:r w:rsidR="008F61C9" w:rsidRPr="002E3ABA">
        <w:rPr>
          <w:rFonts w:eastAsia="Calibri" w:cs="Times New Roman"/>
          <w:szCs w:val="22"/>
          <w:lang w:eastAsia="en-US"/>
        </w:rPr>
        <w:t>L</w:t>
      </w:r>
      <w:r w:rsidR="002568F0" w:rsidRPr="002E3ABA">
        <w:rPr>
          <w:rFonts w:eastAsia="Calibri" w:cs="Times New Roman"/>
          <w:szCs w:val="22"/>
          <w:lang w:eastAsia="en-US"/>
        </w:rPr>
        <w:t xml:space="preserve">es écarts de triage restent faibles </w:t>
      </w:r>
      <w:r w:rsidR="008F61C9" w:rsidRPr="002E3ABA">
        <w:rPr>
          <w:rFonts w:eastAsia="Calibri" w:cs="Times New Roman"/>
          <w:szCs w:val="22"/>
          <w:lang w:eastAsia="en-US"/>
        </w:rPr>
        <w:t>sur l’ensemble des parcelles (</w:t>
      </w:r>
      <w:r w:rsidR="00805EA1" w:rsidRPr="002E3ABA">
        <w:rPr>
          <w:rFonts w:eastAsia="Calibri" w:cs="Times New Roman"/>
          <w:szCs w:val="22"/>
          <w:lang w:eastAsia="en-US"/>
        </w:rPr>
        <w:t>entre 2</w:t>
      </w:r>
      <w:r w:rsidR="00854390">
        <w:rPr>
          <w:rFonts w:eastAsia="Calibri" w:cs="Times New Roman"/>
          <w:szCs w:val="22"/>
          <w:lang w:eastAsia="en-US"/>
        </w:rPr>
        <w:t>0</w:t>
      </w:r>
      <w:r w:rsidR="00805EA1" w:rsidRPr="002E3ABA">
        <w:rPr>
          <w:rFonts w:eastAsia="Calibri" w:cs="Times New Roman"/>
          <w:szCs w:val="22"/>
          <w:lang w:eastAsia="en-US"/>
        </w:rPr>
        <w:t>0</w:t>
      </w:r>
      <w:r w:rsidR="008F61C9" w:rsidRPr="002E3ABA">
        <w:rPr>
          <w:rFonts w:eastAsia="Calibri" w:cs="Times New Roman"/>
          <w:szCs w:val="22"/>
          <w:lang w:eastAsia="en-US"/>
        </w:rPr>
        <w:t xml:space="preserve"> et</w:t>
      </w:r>
      <w:r w:rsidR="00854390">
        <w:rPr>
          <w:rFonts w:eastAsia="Calibri" w:cs="Times New Roman"/>
          <w:szCs w:val="22"/>
          <w:lang w:eastAsia="en-US"/>
        </w:rPr>
        <w:t xml:space="preserve"> 3</w:t>
      </w:r>
      <w:r w:rsidR="008F61C9" w:rsidRPr="002E3ABA">
        <w:rPr>
          <w:rFonts w:eastAsia="Calibri" w:cs="Times New Roman"/>
          <w:szCs w:val="22"/>
          <w:lang w:eastAsia="en-US"/>
        </w:rPr>
        <w:t>00 kg/ha).</w:t>
      </w:r>
      <w:r w:rsidR="007406F2">
        <w:rPr>
          <w:rFonts w:eastAsia="Calibri" w:cs="Times New Roman"/>
          <w:szCs w:val="22"/>
          <w:lang w:eastAsia="en-US"/>
        </w:rPr>
        <w:t xml:space="preserve"> Cette année aucun écart n’a été dû à la présence des ravageurs. Les écarts se répartissent entre les kiwis « malformés », trop mûrs et les petits calibres.</w:t>
      </w:r>
    </w:p>
    <w:p w:rsidR="00854390" w:rsidRPr="00854390" w:rsidRDefault="00854390" w:rsidP="00AE2CF7">
      <w:pPr>
        <w:suppressAutoHyphens w:val="0"/>
        <w:spacing w:after="200" w:line="276" w:lineRule="auto"/>
        <w:jc w:val="both"/>
        <w:rPr>
          <w:rFonts w:eastAsia="Calibri" w:cs="Times New Roman"/>
          <w:color w:val="00B050"/>
          <w:szCs w:val="22"/>
          <w:lang w:eastAsia="en-US"/>
        </w:rPr>
      </w:pPr>
      <w:r w:rsidRPr="00854390">
        <w:rPr>
          <w:rFonts w:eastAsia="Calibri" w:cs="Times New Roman"/>
          <w:color w:val="00B050"/>
          <w:szCs w:val="22"/>
          <w:lang w:eastAsia="en-US"/>
        </w:rPr>
        <w:t>Kiwi 2012</w:t>
      </w:r>
    </w:p>
    <w:p w:rsidR="007406F2" w:rsidRDefault="007406F2" w:rsidP="00AE2CF7">
      <w:pPr>
        <w:keepNext/>
        <w:suppressAutoHyphens w:val="0"/>
        <w:spacing w:after="200" w:line="276" w:lineRule="auto"/>
        <w:jc w:val="center"/>
      </w:pPr>
      <w:r>
        <w:rPr>
          <w:noProof/>
          <w:lang w:eastAsia="fr-FR"/>
        </w:rPr>
        <w:drawing>
          <wp:inline distT="0" distB="0" distL="0" distR="0" wp14:anchorId="06F08A4E" wp14:editId="54F681FD">
            <wp:extent cx="5040000" cy="2520000"/>
            <wp:effectExtent l="0" t="0" r="27305" b="13970"/>
            <wp:docPr id="161" name="Graphique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0739B" w:rsidRDefault="007406F2" w:rsidP="00AE2CF7">
      <w:pPr>
        <w:pStyle w:val="Lgende"/>
        <w:spacing w:line="276" w:lineRule="auto"/>
        <w:jc w:val="center"/>
      </w:pPr>
      <w:r>
        <w:t xml:space="preserve">Figure </w:t>
      </w:r>
      <w:r w:rsidR="008F72D3">
        <w:fldChar w:fldCharType="begin"/>
      </w:r>
      <w:r w:rsidR="008F72D3">
        <w:instrText xml:space="preserve"> SEQ Figure \* ARABIC </w:instrText>
      </w:r>
      <w:r w:rsidR="008F72D3">
        <w:fldChar w:fldCharType="separate"/>
      </w:r>
      <w:r w:rsidR="00DA2B09">
        <w:rPr>
          <w:noProof/>
        </w:rPr>
        <w:t>18</w:t>
      </w:r>
      <w:r w:rsidR="008F72D3">
        <w:rPr>
          <w:noProof/>
        </w:rPr>
        <w:fldChar w:fldCharType="end"/>
      </w:r>
      <w:r>
        <w:t xml:space="preserve"> : rendements et écarts </w:t>
      </w:r>
      <w:r w:rsidR="001561AA">
        <w:t xml:space="preserve">par modalité </w:t>
      </w:r>
      <w:r>
        <w:t>de la parcelle de kiwis 2012</w:t>
      </w:r>
    </w:p>
    <w:p w:rsidR="00D35184" w:rsidRDefault="00D35184" w:rsidP="00AE2CF7">
      <w:pPr>
        <w:spacing w:line="276" w:lineRule="auto"/>
        <w:rPr>
          <w:rFonts w:eastAsia="Calibri"/>
          <w:lang w:eastAsia="en-US"/>
        </w:rPr>
      </w:pPr>
      <w:r>
        <w:rPr>
          <w:rFonts w:eastAsia="Calibri"/>
          <w:lang w:eastAsia="en-US"/>
        </w:rPr>
        <w:t xml:space="preserve">Les rendements sont équivalents d’un SdC à l’autre et correspondent aux moyennes de rendements pour un verger de </w:t>
      </w:r>
      <w:r w:rsidR="00450393">
        <w:rPr>
          <w:rFonts w:eastAsia="Calibri"/>
          <w:lang w:eastAsia="en-US"/>
        </w:rPr>
        <w:t>trois</w:t>
      </w:r>
      <w:r>
        <w:rPr>
          <w:rFonts w:eastAsia="Calibri"/>
          <w:lang w:eastAsia="en-US"/>
        </w:rPr>
        <w:t xml:space="preserve"> ans. Comme pour la parcelle de 2004, les écarts sont faibles et ne sont pas liés à la présence des ravageurs.</w:t>
      </w:r>
    </w:p>
    <w:p w:rsidR="00431ECC" w:rsidRDefault="00431ECC" w:rsidP="00AE2CF7">
      <w:pPr>
        <w:spacing w:line="276" w:lineRule="auto"/>
        <w:rPr>
          <w:rFonts w:eastAsia="Calibri"/>
          <w:lang w:eastAsia="en-US"/>
        </w:rPr>
      </w:pPr>
    </w:p>
    <w:p w:rsidR="0040739B" w:rsidRPr="005F070D" w:rsidRDefault="0040739B" w:rsidP="00AE2CF7">
      <w:pPr>
        <w:suppressAutoHyphens w:val="0"/>
        <w:spacing w:after="200" w:line="276" w:lineRule="auto"/>
        <w:jc w:val="both"/>
        <w:rPr>
          <w:rFonts w:eastAsia="Calibri" w:cs="Times New Roman"/>
          <w:sz w:val="24"/>
          <w:u w:val="single"/>
          <w:lang w:eastAsia="en-US"/>
        </w:rPr>
      </w:pPr>
      <w:r w:rsidRPr="005F070D">
        <w:rPr>
          <w:rFonts w:eastAsia="Calibri" w:cs="Times New Roman"/>
          <w:sz w:val="24"/>
          <w:u w:val="single"/>
          <w:lang w:eastAsia="en-US"/>
        </w:rPr>
        <w:lastRenderedPageBreak/>
        <w:t>Le temps de travail</w:t>
      </w:r>
    </w:p>
    <w:p w:rsidR="00FA4B3D" w:rsidRPr="00FD7E89" w:rsidRDefault="0040739B" w:rsidP="00AE2CF7">
      <w:pPr>
        <w:suppressAutoHyphens w:val="0"/>
        <w:spacing w:after="200" w:line="276" w:lineRule="auto"/>
        <w:jc w:val="both"/>
        <w:rPr>
          <w:rFonts w:eastAsia="Calibri" w:cs="Times New Roman"/>
          <w:szCs w:val="22"/>
          <w:lang w:eastAsia="en-US"/>
        </w:rPr>
      </w:pPr>
      <w:r w:rsidRPr="002E3ABA">
        <w:rPr>
          <w:rFonts w:eastAsia="Calibri" w:cs="Times New Roman"/>
          <w:szCs w:val="22"/>
          <w:lang w:eastAsia="en-US"/>
        </w:rPr>
        <w:t>Dans ce calcul, seule la gestion des bio-agresseurs et des adventices est prise en compte. Les travaux de mis en état des parcelles en sorti d’hiver et l’entretien du verger au cours d’année (fertilisation, ébourgeonnage, éclaircissage,…) ne sont pas pris en compte car identiques dans les trois modalités.</w:t>
      </w:r>
    </w:p>
    <w:p w:rsidR="00FA4B3D" w:rsidRPr="00FA4B3D" w:rsidRDefault="00FA4B3D" w:rsidP="00AE2CF7">
      <w:pPr>
        <w:suppressAutoHyphens w:val="0"/>
        <w:spacing w:after="200" w:line="276" w:lineRule="auto"/>
        <w:jc w:val="both"/>
        <w:rPr>
          <w:rFonts w:eastAsia="Calibri" w:cs="Times New Roman"/>
          <w:color w:val="00B050"/>
          <w:szCs w:val="22"/>
          <w:lang w:eastAsia="en-US"/>
        </w:rPr>
      </w:pPr>
      <w:r w:rsidRPr="00FA4B3D">
        <w:rPr>
          <w:rFonts w:eastAsia="Calibri" w:cs="Times New Roman"/>
          <w:color w:val="00B050"/>
          <w:szCs w:val="22"/>
          <w:lang w:eastAsia="en-US"/>
        </w:rPr>
        <w:t>Kiwi 2004</w:t>
      </w:r>
    </w:p>
    <w:p w:rsidR="0040739B" w:rsidRPr="005F070D" w:rsidRDefault="0040739B"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28</w:t>
      </w:r>
      <w:r w:rsidR="008F72D3">
        <w:rPr>
          <w:noProof/>
        </w:rPr>
        <w:fldChar w:fldCharType="end"/>
      </w:r>
      <w:r w:rsidRPr="005F070D">
        <w:t xml:space="preserve"> : temps de travail</w:t>
      </w:r>
    </w:p>
    <w:tbl>
      <w:tblPr>
        <w:tblStyle w:val="Trameclaire-Accent6"/>
        <w:tblW w:w="7967" w:type="dxa"/>
        <w:jc w:val="center"/>
        <w:tblLook w:val="04A0" w:firstRow="1" w:lastRow="0" w:firstColumn="1" w:lastColumn="0" w:noHBand="0" w:noVBand="1"/>
      </w:tblPr>
      <w:tblGrid>
        <w:gridCol w:w="1049"/>
        <w:gridCol w:w="2920"/>
        <w:gridCol w:w="2835"/>
        <w:gridCol w:w="1199"/>
      </w:tblGrid>
      <w:tr w:rsidR="00FA4B3D" w:rsidRPr="00FA4B3D" w:rsidTr="00FA4B3D">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013"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Modalité</w:t>
            </w:r>
          </w:p>
        </w:tc>
        <w:tc>
          <w:tcPr>
            <w:tcW w:w="2920" w:type="dxa"/>
            <w:noWrap/>
            <w:hideMark/>
          </w:tcPr>
          <w:p w:rsidR="00FA4B3D" w:rsidRPr="00FA4B3D" w:rsidRDefault="00FA4B3D" w:rsidP="00AE2CF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Gestion des bio-agresseurs en min</w:t>
            </w:r>
          </w:p>
        </w:tc>
        <w:tc>
          <w:tcPr>
            <w:tcW w:w="2835" w:type="dxa"/>
            <w:noWrap/>
            <w:hideMark/>
          </w:tcPr>
          <w:p w:rsidR="00FA4B3D" w:rsidRPr="00FA4B3D" w:rsidRDefault="00FA4B3D" w:rsidP="00AE2CF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Gestion des adventices en min</w:t>
            </w:r>
          </w:p>
        </w:tc>
        <w:tc>
          <w:tcPr>
            <w:tcW w:w="1199" w:type="dxa"/>
            <w:noWrap/>
            <w:hideMark/>
          </w:tcPr>
          <w:p w:rsidR="00FA4B3D" w:rsidRPr="00FA4B3D" w:rsidRDefault="00FA4B3D" w:rsidP="00AE2CF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Total en h/Ha</w:t>
            </w:r>
          </w:p>
        </w:tc>
      </w:tr>
      <w:tr w:rsidR="00FA4B3D" w:rsidRPr="00FA4B3D" w:rsidTr="00FA4B3D">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013"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LB</w:t>
            </w:r>
          </w:p>
        </w:tc>
        <w:tc>
          <w:tcPr>
            <w:tcW w:w="2920"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0</w:t>
            </w:r>
          </w:p>
        </w:tc>
        <w:tc>
          <w:tcPr>
            <w:tcW w:w="2835"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834</w:t>
            </w:r>
          </w:p>
        </w:tc>
        <w:tc>
          <w:tcPr>
            <w:tcW w:w="1199"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39</w:t>
            </w:r>
          </w:p>
        </w:tc>
      </w:tr>
      <w:tr w:rsidR="00FA4B3D" w:rsidRPr="00FA4B3D" w:rsidTr="00FA4B3D">
        <w:trPr>
          <w:trHeight w:val="309"/>
          <w:jc w:val="center"/>
        </w:trPr>
        <w:tc>
          <w:tcPr>
            <w:cnfStyle w:val="001000000000" w:firstRow="0" w:lastRow="0" w:firstColumn="1" w:lastColumn="0" w:oddVBand="0" w:evenVBand="0" w:oddHBand="0" w:evenHBand="0" w:firstRowFirstColumn="0" w:firstRowLastColumn="0" w:lastRowFirstColumn="0" w:lastRowLastColumn="0"/>
            <w:tcW w:w="1013"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50%</w:t>
            </w:r>
          </w:p>
        </w:tc>
        <w:tc>
          <w:tcPr>
            <w:tcW w:w="2920" w:type="dxa"/>
            <w:noWrap/>
            <w:hideMark/>
          </w:tcPr>
          <w:p w:rsidR="00FA4B3D" w:rsidRPr="00FA4B3D" w:rsidRDefault="00FA4B3D" w:rsidP="00AE2CF7">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0</w:t>
            </w:r>
          </w:p>
        </w:tc>
        <w:tc>
          <w:tcPr>
            <w:tcW w:w="2835" w:type="dxa"/>
            <w:noWrap/>
            <w:hideMark/>
          </w:tcPr>
          <w:p w:rsidR="00FA4B3D" w:rsidRPr="00FA4B3D" w:rsidRDefault="00FA4B3D" w:rsidP="00AE2CF7">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831,6</w:t>
            </w:r>
          </w:p>
        </w:tc>
        <w:tc>
          <w:tcPr>
            <w:tcW w:w="1199" w:type="dxa"/>
            <w:noWrap/>
            <w:hideMark/>
          </w:tcPr>
          <w:p w:rsidR="00FA4B3D" w:rsidRPr="00FA4B3D" w:rsidRDefault="00FA4B3D" w:rsidP="00AE2CF7">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39</w:t>
            </w:r>
          </w:p>
        </w:tc>
      </w:tr>
      <w:tr w:rsidR="00FA4B3D" w:rsidRPr="00FA4B3D" w:rsidTr="00FA4B3D">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013"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CH</w:t>
            </w:r>
          </w:p>
        </w:tc>
        <w:tc>
          <w:tcPr>
            <w:tcW w:w="2920"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0</w:t>
            </w:r>
          </w:p>
        </w:tc>
        <w:tc>
          <w:tcPr>
            <w:tcW w:w="2835"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610</w:t>
            </w:r>
          </w:p>
        </w:tc>
        <w:tc>
          <w:tcPr>
            <w:tcW w:w="1199"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28</w:t>
            </w:r>
          </w:p>
        </w:tc>
      </w:tr>
    </w:tbl>
    <w:p w:rsidR="0040739B" w:rsidRPr="005F070D" w:rsidRDefault="0040739B" w:rsidP="00AE2CF7">
      <w:pPr>
        <w:suppressAutoHyphens w:val="0"/>
        <w:spacing w:after="200" w:line="276" w:lineRule="auto"/>
        <w:jc w:val="both"/>
        <w:rPr>
          <w:rFonts w:eastAsia="Calibri" w:cs="Times New Roman"/>
          <w:sz w:val="24"/>
          <w:lang w:eastAsia="en-US"/>
        </w:rPr>
      </w:pPr>
    </w:p>
    <w:p w:rsidR="00141F3E" w:rsidRDefault="00892C3F" w:rsidP="00AE2CF7">
      <w:pPr>
        <w:suppressAutoHyphens w:val="0"/>
        <w:spacing w:after="200" w:line="276" w:lineRule="auto"/>
        <w:jc w:val="both"/>
        <w:rPr>
          <w:rFonts w:eastAsia="Calibri" w:cs="Times New Roman"/>
          <w:szCs w:val="22"/>
          <w:lang w:eastAsia="en-US"/>
        </w:rPr>
      </w:pPr>
      <w:r w:rsidRPr="002E3ABA">
        <w:rPr>
          <w:rFonts w:eastAsia="Calibri" w:cs="Times New Roman"/>
          <w:szCs w:val="22"/>
          <w:lang w:eastAsia="en-US"/>
        </w:rPr>
        <w:t>Comme pour les années précédentes, nous observons un gradient ascendant entre les modalités chimiqu</w:t>
      </w:r>
      <w:r w:rsidR="00866F6D" w:rsidRPr="002E3ABA">
        <w:rPr>
          <w:rFonts w:eastAsia="Calibri" w:cs="Times New Roman"/>
          <w:szCs w:val="22"/>
          <w:lang w:eastAsia="en-US"/>
        </w:rPr>
        <w:t xml:space="preserve">e et sans intrant. Cependant, l’écart entre </w:t>
      </w:r>
      <w:r w:rsidR="001B1A7D">
        <w:rPr>
          <w:rFonts w:eastAsia="Calibri" w:cs="Times New Roman"/>
          <w:szCs w:val="22"/>
          <w:lang w:eastAsia="en-US"/>
        </w:rPr>
        <w:t>le SdC 1 et les deux autres SdC est faible.</w:t>
      </w:r>
    </w:p>
    <w:p w:rsidR="00FA4B3D" w:rsidRDefault="00FA4B3D" w:rsidP="00AE2CF7">
      <w:pPr>
        <w:suppressAutoHyphens w:val="0"/>
        <w:spacing w:after="200" w:line="276" w:lineRule="auto"/>
        <w:jc w:val="both"/>
        <w:rPr>
          <w:rFonts w:eastAsia="Calibri" w:cs="Times New Roman"/>
          <w:color w:val="00B050"/>
          <w:szCs w:val="22"/>
          <w:lang w:eastAsia="en-US"/>
        </w:rPr>
      </w:pPr>
      <w:r w:rsidRPr="00FA4B3D">
        <w:rPr>
          <w:rFonts w:eastAsia="Calibri" w:cs="Times New Roman"/>
          <w:color w:val="00B050"/>
          <w:szCs w:val="22"/>
          <w:lang w:eastAsia="en-US"/>
        </w:rPr>
        <w:t>Kiwi 2012</w:t>
      </w:r>
    </w:p>
    <w:p w:rsidR="00FA4B3D" w:rsidRDefault="00FA4B3D" w:rsidP="00AE2CF7">
      <w:pPr>
        <w:pStyle w:val="Lgende"/>
        <w:keepNext/>
        <w:spacing w:line="276" w:lineRule="auto"/>
        <w:jc w:val="center"/>
      </w:pPr>
      <w:r>
        <w:t xml:space="preserve">Tableau </w:t>
      </w:r>
      <w:r w:rsidR="008F72D3">
        <w:fldChar w:fldCharType="begin"/>
      </w:r>
      <w:r w:rsidR="008F72D3">
        <w:instrText xml:space="preserve"> SEQ Tableau \* ARABIC </w:instrText>
      </w:r>
      <w:r w:rsidR="008F72D3">
        <w:fldChar w:fldCharType="separate"/>
      </w:r>
      <w:r w:rsidR="00DA2B09">
        <w:rPr>
          <w:noProof/>
        </w:rPr>
        <w:t>29</w:t>
      </w:r>
      <w:r w:rsidR="008F72D3">
        <w:rPr>
          <w:noProof/>
        </w:rPr>
        <w:fldChar w:fldCharType="end"/>
      </w:r>
      <w:r>
        <w:t xml:space="preserve"> : temps de travail</w:t>
      </w:r>
    </w:p>
    <w:tbl>
      <w:tblPr>
        <w:tblStyle w:val="Trameclaire-Accent6"/>
        <w:tblW w:w="7963" w:type="dxa"/>
        <w:jc w:val="center"/>
        <w:tblLook w:val="04A0" w:firstRow="1" w:lastRow="0" w:firstColumn="1" w:lastColumn="0" w:noHBand="0" w:noVBand="1"/>
      </w:tblPr>
      <w:tblGrid>
        <w:gridCol w:w="1091"/>
        <w:gridCol w:w="2886"/>
        <w:gridCol w:w="2802"/>
        <w:gridCol w:w="1184"/>
      </w:tblGrid>
      <w:tr w:rsidR="00FA4B3D" w:rsidRPr="00FA4B3D" w:rsidTr="00FA4B3D">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091" w:type="dxa"/>
            <w:noWrap/>
            <w:hideMark/>
          </w:tcPr>
          <w:p w:rsidR="00FA4B3D" w:rsidRPr="00FA4B3D" w:rsidRDefault="00FA4B3D" w:rsidP="00AE2CF7">
            <w:pPr>
              <w:suppressAutoHyphens w:val="0"/>
              <w:spacing w:after="0" w:line="276" w:lineRule="auto"/>
              <w:rPr>
                <w:rFonts w:cs="Times New Roman"/>
                <w:color w:val="000000"/>
                <w:szCs w:val="22"/>
                <w:lang w:eastAsia="fr-FR"/>
              </w:rPr>
            </w:pPr>
            <w:r w:rsidRPr="00FA4B3D">
              <w:rPr>
                <w:rFonts w:cs="Times New Roman"/>
                <w:color w:val="000000"/>
                <w:szCs w:val="22"/>
                <w:lang w:eastAsia="fr-FR"/>
              </w:rPr>
              <w:t>Modalité</w:t>
            </w:r>
          </w:p>
        </w:tc>
        <w:tc>
          <w:tcPr>
            <w:tcW w:w="2886" w:type="dxa"/>
            <w:noWrap/>
            <w:hideMark/>
          </w:tcPr>
          <w:p w:rsidR="00FA4B3D" w:rsidRPr="00FA4B3D" w:rsidRDefault="00FA4B3D" w:rsidP="00AE2CF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Gestion des bio-agresseurs en min</w:t>
            </w:r>
          </w:p>
        </w:tc>
        <w:tc>
          <w:tcPr>
            <w:tcW w:w="2802" w:type="dxa"/>
            <w:noWrap/>
            <w:hideMark/>
          </w:tcPr>
          <w:p w:rsidR="00FA4B3D" w:rsidRPr="00FA4B3D" w:rsidRDefault="00FA4B3D" w:rsidP="00AE2CF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Gestion des adventices en min</w:t>
            </w:r>
          </w:p>
        </w:tc>
        <w:tc>
          <w:tcPr>
            <w:tcW w:w="1184" w:type="dxa"/>
            <w:noWrap/>
            <w:hideMark/>
          </w:tcPr>
          <w:p w:rsidR="00FA4B3D" w:rsidRPr="00FA4B3D" w:rsidRDefault="00FA4B3D" w:rsidP="00AE2CF7">
            <w:pPr>
              <w:suppressAutoHyphens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Total en h/Ha</w:t>
            </w:r>
          </w:p>
        </w:tc>
      </w:tr>
      <w:tr w:rsidR="00FA4B3D" w:rsidRPr="00FA4B3D" w:rsidTr="00FA4B3D">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091"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LB</w:t>
            </w:r>
          </w:p>
        </w:tc>
        <w:tc>
          <w:tcPr>
            <w:tcW w:w="2886"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0</w:t>
            </w:r>
          </w:p>
        </w:tc>
        <w:tc>
          <w:tcPr>
            <w:tcW w:w="2802"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623,3</w:t>
            </w:r>
          </w:p>
        </w:tc>
        <w:tc>
          <w:tcPr>
            <w:tcW w:w="1184"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28,8</w:t>
            </w:r>
          </w:p>
        </w:tc>
      </w:tr>
      <w:tr w:rsidR="00FA4B3D" w:rsidRPr="00FA4B3D" w:rsidTr="00FA4B3D">
        <w:trPr>
          <w:trHeight w:val="324"/>
          <w:jc w:val="center"/>
        </w:trPr>
        <w:tc>
          <w:tcPr>
            <w:cnfStyle w:val="001000000000" w:firstRow="0" w:lastRow="0" w:firstColumn="1" w:lastColumn="0" w:oddVBand="0" w:evenVBand="0" w:oddHBand="0" w:evenHBand="0" w:firstRowFirstColumn="0" w:firstRowLastColumn="0" w:lastRowFirstColumn="0" w:lastRowLastColumn="0"/>
            <w:tcW w:w="1091"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50%</w:t>
            </w:r>
          </w:p>
        </w:tc>
        <w:tc>
          <w:tcPr>
            <w:tcW w:w="2886" w:type="dxa"/>
            <w:noWrap/>
            <w:hideMark/>
          </w:tcPr>
          <w:p w:rsidR="00FA4B3D" w:rsidRPr="00FA4B3D" w:rsidRDefault="00FA4B3D" w:rsidP="00AE2CF7">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0</w:t>
            </w:r>
          </w:p>
        </w:tc>
        <w:tc>
          <w:tcPr>
            <w:tcW w:w="2802" w:type="dxa"/>
            <w:noWrap/>
            <w:hideMark/>
          </w:tcPr>
          <w:p w:rsidR="00FA4B3D" w:rsidRPr="00FA4B3D" w:rsidRDefault="00FA4B3D" w:rsidP="00AE2CF7">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620,7</w:t>
            </w:r>
          </w:p>
        </w:tc>
        <w:tc>
          <w:tcPr>
            <w:tcW w:w="1184" w:type="dxa"/>
            <w:noWrap/>
            <w:hideMark/>
          </w:tcPr>
          <w:p w:rsidR="00FA4B3D" w:rsidRPr="00FA4B3D" w:rsidRDefault="00FA4B3D" w:rsidP="00AE2CF7">
            <w:pPr>
              <w:suppressAutoHyphens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28,8</w:t>
            </w:r>
          </w:p>
        </w:tc>
      </w:tr>
      <w:tr w:rsidR="00FA4B3D" w:rsidRPr="00FA4B3D" w:rsidTr="00FA4B3D">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1091" w:type="dxa"/>
            <w:noWrap/>
            <w:hideMark/>
          </w:tcPr>
          <w:p w:rsidR="00FA4B3D" w:rsidRPr="00FA4B3D" w:rsidRDefault="00FA4B3D" w:rsidP="00AE2CF7">
            <w:pPr>
              <w:suppressAutoHyphens w:val="0"/>
              <w:spacing w:after="0" w:line="276" w:lineRule="auto"/>
              <w:jc w:val="center"/>
              <w:rPr>
                <w:rFonts w:cs="Times New Roman"/>
                <w:color w:val="000000"/>
                <w:szCs w:val="22"/>
                <w:lang w:eastAsia="fr-FR"/>
              </w:rPr>
            </w:pPr>
            <w:r w:rsidRPr="00FA4B3D">
              <w:rPr>
                <w:rFonts w:cs="Times New Roman"/>
                <w:color w:val="000000"/>
                <w:szCs w:val="22"/>
                <w:lang w:eastAsia="fr-FR"/>
              </w:rPr>
              <w:t>CH</w:t>
            </w:r>
          </w:p>
        </w:tc>
        <w:tc>
          <w:tcPr>
            <w:tcW w:w="2886"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0</w:t>
            </w:r>
          </w:p>
        </w:tc>
        <w:tc>
          <w:tcPr>
            <w:tcW w:w="2802"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458,6</w:t>
            </w:r>
          </w:p>
        </w:tc>
        <w:tc>
          <w:tcPr>
            <w:tcW w:w="1184" w:type="dxa"/>
            <w:noWrap/>
            <w:hideMark/>
          </w:tcPr>
          <w:p w:rsidR="00FA4B3D" w:rsidRPr="00FA4B3D" w:rsidRDefault="00FA4B3D" w:rsidP="00AE2CF7">
            <w:pPr>
              <w:suppressAutoHyphens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2"/>
                <w:lang w:eastAsia="fr-FR"/>
              </w:rPr>
            </w:pPr>
            <w:r w:rsidRPr="00FA4B3D">
              <w:rPr>
                <w:rFonts w:cs="Times New Roman"/>
                <w:color w:val="000000"/>
                <w:szCs w:val="22"/>
                <w:lang w:eastAsia="fr-FR"/>
              </w:rPr>
              <w:t>21,2</w:t>
            </w:r>
          </w:p>
        </w:tc>
      </w:tr>
    </w:tbl>
    <w:p w:rsidR="00141F3E" w:rsidRDefault="00141F3E" w:rsidP="00AE2CF7">
      <w:pPr>
        <w:suppressAutoHyphens w:val="0"/>
        <w:spacing w:after="200" w:line="276" w:lineRule="auto"/>
        <w:jc w:val="both"/>
        <w:rPr>
          <w:rFonts w:eastAsia="Calibri" w:cs="Times New Roman"/>
          <w:szCs w:val="22"/>
          <w:lang w:eastAsia="en-US"/>
        </w:rPr>
      </w:pPr>
    </w:p>
    <w:p w:rsidR="00FA4B3D" w:rsidRPr="005F6657" w:rsidRDefault="005F6657"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Les mêmes observations peuvent être faites ici. On observe cependant un écart moins important dans cette parcelle entre le SdC 1 et les deux autres.</w:t>
      </w:r>
    </w:p>
    <w:p w:rsidR="007A72FC" w:rsidRDefault="007A72FC" w:rsidP="00AE2CF7">
      <w:pPr>
        <w:suppressAutoHyphens w:val="0"/>
        <w:spacing w:after="200" w:line="276" w:lineRule="auto"/>
        <w:jc w:val="both"/>
        <w:rPr>
          <w:rFonts w:eastAsia="Calibri" w:cs="Times New Roman"/>
          <w:szCs w:val="22"/>
          <w:u w:val="single"/>
          <w:lang w:eastAsia="en-US"/>
        </w:rPr>
      </w:pPr>
      <w:r w:rsidRPr="002E3ABA">
        <w:rPr>
          <w:rFonts w:eastAsia="Calibri" w:cs="Times New Roman"/>
          <w:szCs w:val="22"/>
          <w:u w:val="single"/>
          <w:lang w:eastAsia="en-US"/>
        </w:rPr>
        <w:t>Les coûts de production</w:t>
      </w:r>
    </w:p>
    <w:p w:rsidR="00252D68" w:rsidRPr="00252D68" w:rsidRDefault="00252D68" w:rsidP="00AE2CF7">
      <w:pPr>
        <w:suppressAutoHyphens w:val="0"/>
        <w:spacing w:after="200" w:line="276" w:lineRule="auto"/>
        <w:jc w:val="both"/>
        <w:rPr>
          <w:rFonts w:eastAsia="Calibri" w:cs="Times New Roman"/>
          <w:color w:val="00B050"/>
          <w:szCs w:val="22"/>
          <w:lang w:eastAsia="en-US"/>
        </w:rPr>
      </w:pPr>
      <w:r w:rsidRPr="00252D68">
        <w:rPr>
          <w:rFonts w:eastAsia="Calibri" w:cs="Times New Roman"/>
          <w:color w:val="00B050"/>
          <w:szCs w:val="22"/>
          <w:lang w:eastAsia="en-US"/>
        </w:rPr>
        <w:t>Kiwi 2004</w:t>
      </w:r>
    </w:p>
    <w:p w:rsidR="009C6197" w:rsidRPr="002E3ABA" w:rsidRDefault="002F43E4" w:rsidP="00AE2CF7">
      <w:pPr>
        <w:suppressAutoHyphens w:val="0"/>
        <w:spacing w:after="200" w:line="276" w:lineRule="auto"/>
        <w:jc w:val="both"/>
        <w:rPr>
          <w:rFonts w:eastAsia="Calibri" w:cs="Times New Roman"/>
          <w:szCs w:val="22"/>
          <w:lang w:eastAsia="en-US"/>
        </w:rPr>
      </w:pPr>
      <w:r w:rsidRPr="002E3ABA">
        <w:rPr>
          <w:rFonts w:eastAsia="Calibri" w:cs="Times New Roman"/>
          <w:szCs w:val="22"/>
          <w:lang w:eastAsia="en-US"/>
        </w:rPr>
        <w:t>Le tableau ci-dessous compare les coûts de main d’œuvre et de produits phytosanitaires entre les systèmes de culture.</w:t>
      </w:r>
      <w:r w:rsidR="00B54B78">
        <w:rPr>
          <w:rFonts w:eastAsia="Calibri" w:cs="Times New Roman"/>
          <w:szCs w:val="22"/>
          <w:lang w:eastAsia="en-US"/>
        </w:rPr>
        <w:t xml:space="preserve"> Les temps de travaux sont issus du tableau ci-dessus.</w:t>
      </w:r>
    </w:p>
    <w:p w:rsidR="009C6197" w:rsidRDefault="009C6197" w:rsidP="00AE2CF7">
      <w:pPr>
        <w:pStyle w:val="Lgende"/>
        <w:spacing w:line="276" w:lineRule="auto"/>
        <w:jc w:val="center"/>
      </w:pPr>
      <w:r w:rsidRPr="005F070D">
        <w:t xml:space="preserve">Tableau </w:t>
      </w:r>
      <w:r w:rsidR="008F72D3">
        <w:fldChar w:fldCharType="begin"/>
      </w:r>
      <w:r w:rsidR="008F72D3">
        <w:instrText xml:space="preserve"> SEQ Tableau \* ARABIC </w:instrText>
      </w:r>
      <w:r w:rsidR="008F72D3">
        <w:fldChar w:fldCharType="separate"/>
      </w:r>
      <w:r w:rsidR="00DA2B09">
        <w:rPr>
          <w:noProof/>
        </w:rPr>
        <w:t>30</w:t>
      </w:r>
      <w:r w:rsidR="008F72D3">
        <w:rPr>
          <w:noProof/>
        </w:rPr>
        <w:fldChar w:fldCharType="end"/>
      </w:r>
      <w:r w:rsidRPr="005F070D">
        <w:t xml:space="preserve"> : comparaison </w:t>
      </w:r>
      <w:r w:rsidRPr="002E3ABA">
        <w:t>des</w:t>
      </w:r>
      <w:r w:rsidRPr="005F070D">
        <w:t xml:space="preserve"> coûts de production</w:t>
      </w:r>
      <w:r w:rsidR="000D4BC1" w:rsidRPr="005F070D">
        <w:t xml:space="preserve"> liés à la diminution d’intrants</w:t>
      </w:r>
    </w:p>
    <w:tbl>
      <w:tblPr>
        <w:tblW w:w="9172" w:type="dxa"/>
        <w:tblCellMar>
          <w:left w:w="70" w:type="dxa"/>
          <w:right w:w="70" w:type="dxa"/>
        </w:tblCellMar>
        <w:tblLook w:val="04A0" w:firstRow="1" w:lastRow="0" w:firstColumn="1" w:lastColumn="0" w:noHBand="0" w:noVBand="1"/>
      </w:tblPr>
      <w:tblGrid>
        <w:gridCol w:w="2995"/>
        <w:gridCol w:w="2059"/>
        <w:gridCol w:w="2059"/>
        <w:gridCol w:w="2059"/>
      </w:tblGrid>
      <w:tr w:rsidR="003921EB" w:rsidRPr="005342FE" w:rsidTr="003921EB">
        <w:trPr>
          <w:trHeight w:val="290"/>
        </w:trPr>
        <w:tc>
          <w:tcPr>
            <w:tcW w:w="2995" w:type="dxa"/>
            <w:tcBorders>
              <w:top w:val="nil"/>
              <w:left w:val="nil"/>
              <w:bottom w:val="nil"/>
              <w:right w:val="nil"/>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b/>
                <w:color w:val="000000"/>
                <w:szCs w:val="22"/>
                <w:lang w:eastAsia="fr-FR"/>
              </w:rPr>
            </w:pPr>
            <w:r w:rsidRPr="005342FE">
              <w:rPr>
                <w:rFonts w:cs="Times New Roman"/>
                <w:b/>
                <w:color w:val="000000"/>
                <w:szCs w:val="22"/>
                <w:lang w:eastAsia="fr-FR"/>
              </w:rPr>
              <w:t>LB</w:t>
            </w:r>
          </w:p>
        </w:tc>
        <w:tc>
          <w:tcPr>
            <w:tcW w:w="2059" w:type="dxa"/>
            <w:tcBorders>
              <w:top w:val="single" w:sz="4" w:space="0" w:color="auto"/>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b/>
                <w:color w:val="000000"/>
                <w:szCs w:val="22"/>
                <w:lang w:eastAsia="fr-FR"/>
              </w:rPr>
            </w:pPr>
            <w:r w:rsidRPr="005342FE">
              <w:rPr>
                <w:rFonts w:cs="Times New Roman"/>
                <w:b/>
                <w:color w:val="000000"/>
                <w:szCs w:val="22"/>
                <w:lang w:eastAsia="fr-FR"/>
              </w:rPr>
              <w:t>50%</w:t>
            </w:r>
          </w:p>
        </w:tc>
        <w:tc>
          <w:tcPr>
            <w:tcW w:w="2059" w:type="dxa"/>
            <w:tcBorders>
              <w:top w:val="single" w:sz="4" w:space="0" w:color="auto"/>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b/>
                <w:color w:val="000000"/>
                <w:szCs w:val="22"/>
                <w:lang w:eastAsia="fr-FR"/>
              </w:rPr>
            </w:pPr>
            <w:r w:rsidRPr="005342FE">
              <w:rPr>
                <w:rFonts w:cs="Times New Roman"/>
                <w:b/>
                <w:color w:val="000000"/>
                <w:szCs w:val="22"/>
                <w:lang w:eastAsia="fr-FR"/>
              </w:rPr>
              <w:t>CH</w:t>
            </w:r>
          </w:p>
        </w:tc>
      </w:tr>
      <w:tr w:rsidR="003921EB" w:rsidRPr="005342FE" w:rsidTr="003921EB">
        <w:trPr>
          <w:trHeight w:val="290"/>
        </w:trPr>
        <w:tc>
          <w:tcPr>
            <w:tcW w:w="2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Nombre de traitement</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4</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Nombre d'herbicide</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4</w:t>
            </w:r>
          </w:p>
        </w:tc>
      </w:tr>
      <w:tr w:rsidR="003921EB" w:rsidRPr="005342FE" w:rsidTr="005342FE">
        <w:trPr>
          <w:trHeight w:val="29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Nombre d'heure/ha pour traitement</w:t>
            </w:r>
          </w:p>
        </w:tc>
        <w:tc>
          <w:tcPr>
            <w:tcW w:w="2059" w:type="dxa"/>
            <w:tcBorders>
              <w:top w:val="nil"/>
              <w:left w:val="nil"/>
              <w:bottom w:val="single" w:sz="4" w:space="0" w:color="auto"/>
              <w:right w:val="single" w:sz="4" w:space="0" w:color="auto"/>
            </w:tcBorders>
            <w:shd w:val="clear" w:color="auto" w:fill="auto"/>
            <w:noWrap/>
            <w:vAlign w:val="center"/>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center"/>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center"/>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7</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Coût main d'œuvre €/ha</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13,82</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13,82</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13,82</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Coût MO</w:t>
            </w:r>
            <w:r w:rsidR="00F93A2E">
              <w:rPr>
                <w:rFonts w:cs="Times New Roman"/>
                <w:color w:val="000000"/>
                <w:szCs w:val="22"/>
                <w:lang w:eastAsia="fr-FR"/>
              </w:rPr>
              <w:t xml:space="preserve"> €/</w:t>
            </w:r>
            <w:r w:rsidRPr="005342FE">
              <w:rPr>
                <w:rFonts w:cs="Times New Roman"/>
                <w:color w:val="000000"/>
                <w:szCs w:val="22"/>
                <w:lang w:eastAsia="fr-FR"/>
              </w:rPr>
              <w:t>traitement/ha</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96,74</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Coût herbicide €/ha</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150</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Coût insecticide €/ha</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lastRenderedPageBreak/>
              <w:t>Coût phytosanitaires €/ha</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0</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150</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Temps de travail manuel h/ha</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39</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39</w:t>
            </w:r>
          </w:p>
        </w:tc>
        <w:tc>
          <w:tcPr>
            <w:tcW w:w="2059" w:type="dxa"/>
            <w:tcBorders>
              <w:top w:val="nil"/>
              <w:left w:val="nil"/>
              <w:bottom w:val="single" w:sz="4" w:space="0" w:color="auto"/>
              <w:right w:val="single" w:sz="4" w:space="0" w:color="auto"/>
            </w:tcBorders>
            <w:shd w:val="clear" w:color="auto" w:fill="auto"/>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21</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Coût MO €/ha</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538,98</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538,98</w:t>
            </w:r>
          </w:p>
        </w:tc>
        <w:tc>
          <w:tcPr>
            <w:tcW w:w="2059" w:type="dxa"/>
            <w:tcBorders>
              <w:top w:val="nil"/>
              <w:left w:val="nil"/>
              <w:bottom w:val="single" w:sz="4" w:space="0" w:color="auto"/>
              <w:right w:val="single" w:sz="4" w:space="0" w:color="auto"/>
            </w:tcBorders>
            <w:shd w:val="clear" w:color="auto" w:fill="C6D9F1" w:themeFill="text2" w:themeFillTint="33"/>
            <w:noWrap/>
            <w:vAlign w:val="bottom"/>
            <w:hideMark/>
          </w:tcPr>
          <w:p w:rsidR="003921EB" w:rsidRPr="005342FE" w:rsidRDefault="003921EB" w:rsidP="00AE2CF7">
            <w:pPr>
              <w:suppressAutoHyphens w:val="0"/>
              <w:spacing w:after="0" w:line="276" w:lineRule="auto"/>
              <w:jc w:val="center"/>
              <w:rPr>
                <w:rFonts w:cs="Times New Roman"/>
                <w:color w:val="000000"/>
                <w:szCs w:val="22"/>
                <w:lang w:eastAsia="fr-FR"/>
              </w:rPr>
            </w:pPr>
            <w:r w:rsidRPr="005342FE">
              <w:rPr>
                <w:rFonts w:cs="Times New Roman"/>
                <w:color w:val="000000"/>
                <w:szCs w:val="22"/>
                <w:lang w:eastAsia="fr-FR"/>
              </w:rPr>
              <w:t>290,22</w:t>
            </w:r>
          </w:p>
        </w:tc>
      </w:tr>
      <w:tr w:rsidR="003921EB" w:rsidRPr="005342FE" w:rsidTr="003921EB">
        <w:trPr>
          <w:trHeight w:val="290"/>
        </w:trPr>
        <w:tc>
          <w:tcPr>
            <w:tcW w:w="2995" w:type="dxa"/>
            <w:tcBorders>
              <w:top w:val="nil"/>
              <w:left w:val="single" w:sz="4" w:space="0" w:color="auto"/>
              <w:bottom w:val="single" w:sz="4" w:space="0" w:color="auto"/>
              <w:right w:val="single" w:sz="4" w:space="0" w:color="auto"/>
            </w:tcBorders>
            <w:shd w:val="clear" w:color="000000" w:fill="C4D79B"/>
            <w:noWrap/>
            <w:vAlign w:val="bottom"/>
            <w:hideMark/>
          </w:tcPr>
          <w:p w:rsidR="003921EB" w:rsidRPr="005342FE" w:rsidRDefault="003921EB" w:rsidP="00AE2CF7">
            <w:pPr>
              <w:suppressAutoHyphens w:val="0"/>
              <w:spacing w:after="0" w:line="276" w:lineRule="auto"/>
              <w:jc w:val="center"/>
              <w:rPr>
                <w:rFonts w:cs="Times New Roman"/>
                <w:color w:val="C00000"/>
                <w:szCs w:val="22"/>
                <w:lang w:eastAsia="fr-FR"/>
              </w:rPr>
            </w:pPr>
            <w:r w:rsidRPr="005342FE">
              <w:rPr>
                <w:rFonts w:cs="Times New Roman"/>
                <w:color w:val="C00000"/>
                <w:szCs w:val="22"/>
                <w:lang w:eastAsia="fr-FR"/>
              </w:rPr>
              <w:t>Coût total €/ha</w:t>
            </w:r>
          </w:p>
        </w:tc>
        <w:tc>
          <w:tcPr>
            <w:tcW w:w="2059" w:type="dxa"/>
            <w:tcBorders>
              <w:top w:val="nil"/>
              <w:left w:val="nil"/>
              <w:bottom w:val="single" w:sz="4" w:space="0" w:color="auto"/>
              <w:right w:val="single" w:sz="4" w:space="0" w:color="auto"/>
            </w:tcBorders>
            <w:shd w:val="clear" w:color="000000" w:fill="C4D79B"/>
            <w:noWrap/>
            <w:vAlign w:val="bottom"/>
            <w:hideMark/>
          </w:tcPr>
          <w:p w:rsidR="003921EB" w:rsidRPr="005342FE" w:rsidRDefault="003921EB" w:rsidP="00AE2CF7">
            <w:pPr>
              <w:suppressAutoHyphens w:val="0"/>
              <w:spacing w:after="0" w:line="276" w:lineRule="auto"/>
              <w:jc w:val="center"/>
              <w:rPr>
                <w:rFonts w:cs="Times New Roman"/>
                <w:color w:val="C00000"/>
                <w:szCs w:val="22"/>
                <w:lang w:eastAsia="fr-FR"/>
              </w:rPr>
            </w:pPr>
            <w:r w:rsidRPr="005342FE">
              <w:rPr>
                <w:rFonts w:cs="Times New Roman"/>
                <w:color w:val="C00000"/>
                <w:szCs w:val="22"/>
                <w:lang w:eastAsia="fr-FR"/>
              </w:rPr>
              <w:t>538,98</w:t>
            </w:r>
          </w:p>
        </w:tc>
        <w:tc>
          <w:tcPr>
            <w:tcW w:w="2059" w:type="dxa"/>
            <w:tcBorders>
              <w:top w:val="nil"/>
              <w:left w:val="nil"/>
              <w:bottom w:val="single" w:sz="4" w:space="0" w:color="auto"/>
              <w:right w:val="single" w:sz="4" w:space="0" w:color="auto"/>
            </w:tcBorders>
            <w:shd w:val="clear" w:color="000000" w:fill="C4D79B"/>
            <w:noWrap/>
            <w:vAlign w:val="bottom"/>
            <w:hideMark/>
          </w:tcPr>
          <w:p w:rsidR="003921EB" w:rsidRPr="005342FE" w:rsidRDefault="003921EB" w:rsidP="00AE2CF7">
            <w:pPr>
              <w:suppressAutoHyphens w:val="0"/>
              <w:spacing w:after="0" w:line="276" w:lineRule="auto"/>
              <w:jc w:val="center"/>
              <w:rPr>
                <w:rFonts w:cs="Times New Roman"/>
                <w:color w:val="C00000"/>
                <w:szCs w:val="22"/>
                <w:lang w:eastAsia="fr-FR"/>
              </w:rPr>
            </w:pPr>
            <w:r w:rsidRPr="005342FE">
              <w:rPr>
                <w:rFonts w:cs="Times New Roman"/>
                <w:color w:val="C00000"/>
                <w:szCs w:val="22"/>
                <w:lang w:eastAsia="fr-FR"/>
              </w:rPr>
              <w:t>538,98</w:t>
            </w:r>
          </w:p>
        </w:tc>
        <w:tc>
          <w:tcPr>
            <w:tcW w:w="2059" w:type="dxa"/>
            <w:tcBorders>
              <w:top w:val="nil"/>
              <w:left w:val="nil"/>
              <w:bottom w:val="single" w:sz="4" w:space="0" w:color="auto"/>
              <w:right w:val="single" w:sz="4" w:space="0" w:color="auto"/>
            </w:tcBorders>
            <w:shd w:val="clear" w:color="000000" w:fill="C4D79B"/>
            <w:noWrap/>
            <w:vAlign w:val="bottom"/>
            <w:hideMark/>
          </w:tcPr>
          <w:p w:rsidR="003921EB" w:rsidRPr="005342FE" w:rsidRDefault="003921EB" w:rsidP="00AE2CF7">
            <w:pPr>
              <w:suppressAutoHyphens w:val="0"/>
              <w:spacing w:after="0" w:line="276" w:lineRule="auto"/>
              <w:jc w:val="center"/>
              <w:rPr>
                <w:rFonts w:cs="Times New Roman"/>
                <w:color w:val="C00000"/>
                <w:szCs w:val="22"/>
                <w:lang w:eastAsia="fr-FR"/>
              </w:rPr>
            </w:pPr>
            <w:r w:rsidRPr="005342FE">
              <w:rPr>
                <w:rFonts w:cs="Times New Roman"/>
                <w:color w:val="C00000"/>
                <w:szCs w:val="22"/>
                <w:lang w:eastAsia="fr-FR"/>
              </w:rPr>
              <w:t>536,96</w:t>
            </w:r>
          </w:p>
        </w:tc>
      </w:tr>
    </w:tbl>
    <w:p w:rsidR="003921EB" w:rsidRPr="003921EB" w:rsidRDefault="003921EB" w:rsidP="00AE2CF7">
      <w:pPr>
        <w:spacing w:line="276" w:lineRule="auto"/>
        <w:rPr>
          <w:lang w:eastAsia="en-US"/>
        </w:rPr>
      </w:pPr>
    </w:p>
    <w:p w:rsidR="00B54B78" w:rsidRDefault="00B54B78" w:rsidP="00AE2CF7">
      <w:pPr>
        <w:spacing w:line="276" w:lineRule="auto"/>
        <w:rPr>
          <w:sz w:val="20"/>
          <w:szCs w:val="20"/>
          <w:lang w:eastAsia="en-US"/>
        </w:rPr>
      </w:pPr>
      <w:r w:rsidRPr="003323DA">
        <w:rPr>
          <w:sz w:val="20"/>
          <w:szCs w:val="20"/>
          <w:lang w:eastAsia="en-US"/>
        </w:rPr>
        <w:t>*sur l</w:t>
      </w:r>
      <w:r w:rsidR="00252D68">
        <w:rPr>
          <w:sz w:val="20"/>
          <w:szCs w:val="20"/>
          <w:lang w:eastAsia="en-US"/>
        </w:rPr>
        <w:t>a base du taux horaire Smic 2015</w:t>
      </w:r>
    </w:p>
    <w:p w:rsidR="00252D68" w:rsidRDefault="0063107D" w:rsidP="0063107D">
      <w:pPr>
        <w:spacing w:line="276" w:lineRule="auto"/>
        <w:rPr>
          <w:lang w:eastAsia="en-US"/>
        </w:rPr>
      </w:pPr>
      <w:r>
        <w:rPr>
          <w:lang w:eastAsia="en-US"/>
        </w:rPr>
        <w:t>Le coût global du désherbage mécanique est équivalent au désherbage chimique. Nous obtenons donc des coûts de production équivalents entre les SdC.</w:t>
      </w:r>
    </w:p>
    <w:p w:rsidR="0063107D" w:rsidRPr="003323DA" w:rsidRDefault="0063107D" w:rsidP="0063107D">
      <w:pPr>
        <w:rPr>
          <w:lang w:eastAsia="en-US"/>
        </w:rPr>
      </w:pPr>
    </w:p>
    <w:p w:rsidR="003921EB" w:rsidRDefault="00252D68" w:rsidP="00AE2CF7">
      <w:pPr>
        <w:suppressAutoHyphens w:val="0"/>
        <w:spacing w:after="200" w:line="276" w:lineRule="auto"/>
        <w:jc w:val="both"/>
        <w:rPr>
          <w:rFonts w:eastAsia="Calibri" w:cs="Times New Roman"/>
          <w:color w:val="00B050"/>
          <w:szCs w:val="22"/>
          <w:lang w:eastAsia="en-US"/>
        </w:rPr>
      </w:pPr>
      <w:r w:rsidRPr="00252D68">
        <w:rPr>
          <w:rFonts w:eastAsia="Calibri" w:cs="Times New Roman"/>
          <w:color w:val="00B050"/>
          <w:szCs w:val="22"/>
          <w:lang w:eastAsia="en-US"/>
        </w:rPr>
        <w:t>Kiwi 2012</w:t>
      </w:r>
    </w:p>
    <w:p w:rsidR="00B74876" w:rsidRDefault="00B74876" w:rsidP="00B74876">
      <w:pPr>
        <w:pStyle w:val="Lgende"/>
        <w:keepNext/>
        <w:jc w:val="center"/>
      </w:pPr>
      <w:r>
        <w:t xml:space="preserve">Tableau </w:t>
      </w:r>
      <w:r w:rsidR="008F72D3">
        <w:fldChar w:fldCharType="begin"/>
      </w:r>
      <w:r w:rsidR="008F72D3">
        <w:instrText xml:space="preserve"> SEQ Tableau \* ARABIC </w:instrText>
      </w:r>
      <w:r w:rsidR="008F72D3">
        <w:fldChar w:fldCharType="separate"/>
      </w:r>
      <w:r w:rsidR="00DA2B09">
        <w:rPr>
          <w:noProof/>
        </w:rPr>
        <w:t>31</w:t>
      </w:r>
      <w:r w:rsidR="008F72D3">
        <w:rPr>
          <w:noProof/>
        </w:rPr>
        <w:fldChar w:fldCharType="end"/>
      </w:r>
      <w:r>
        <w:t xml:space="preserve"> : comparaison des coûts de production liés à la diminution d'intrants</w:t>
      </w:r>
    </w:p>
    <w:tbl>
      <w:tblPr>
        <w:tblW w:w="9086" w:type="dxa"/>
        <w:tblInd w:w="55" w:type="dxa"/>
        <w:tblCellMar>
          <w:left w:w="70" w:type="dxa"/>
          <w:right w:w="70" w:type="dxa"/>
        </w:tblCellMar>
        <w:tblLook w:val="04A0" w:firstRow="1" w:lastRow="0" w:firstColumn="1" w:lastColumn="0" w:noHBand="0" w:noVBand="1"/>
      </w:tblPr>
      <w:tblGrid>
        <w:gridCol w:w="4013"/>
        <w:gridCol w:w="1691"/>
        <w:gridCol w:w="1691"/>
        <w:gridCol w:w="1691"/>
      </w:tblGrid>
      <w:tr w:rsidR="00B74876" w:rsidRPr="00B74876" w:rsidTr="00C54A72">
        <w:trPr>
          <w:trHeight w:val="300"/>
        </w:trPr>
        <w:tc>
          <w:tcPr>
            <w:tcW w:w="4013" w:type="dxa"/>
            <w:tcBorders>
              <w:top w:val="nil"/>
              <w:left w:val="nil"/>
              <w:bottom w:val="nil"/>
              <w:right w:val="nil"/>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b/>
                <w:color w:val="000000"/>
                <w:szCs w:val="22"/>
                <w:lang w:eastAsia="fr-FR"/>
              </w:rPr>
            </w:pPr>
            <w:r w:rsidRPr="00B74876">
              <w:rPr>
                <w:rFonts w:cs="Times New Roman"/>
                <w:b/>
                <w:color w:val="000000"/>
                <w:szCs w:val="22"/>
                <w:lang w:eastAsia="fr-FR"/>
              </w:rPr>
              <w:t>LB</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b/>
                <w:color w:val="000000"/>
                <w:szCs w:val="22"/>
                <w:lang w:eastAsia="fr-FR"/>
              </w:rPr>
            </w:pPr>
            <w:r w:rsidRPr="00B74876">
              <w:rPr>
                <w:rFonts w:cs="Times New Roman"/>
                <w:b/>
                <w:color w:val="000000"/>
                <w:szCs w:val="22"/>
                <w:lang w:eastAsia="fr-FR"/>
              </w:rPr>
              <w:t>50%</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b/>
                <w:color w:val="000000"/>
                <w:szCs w:val="22"/>
                <w:lang w:eastAsia="fr-FR"/>
              </w:rPr>
            </w:pPr>
            <w:r w:rsidRPr="00B74876">
              <w:rPr>
                <w:rFonts w:cs="Times New Roman"/>
                <w:b/>
                <w:color w:val="000000"/>
                <w:szCs w:val="22"/>
                <w:lang w:eastAsia="fr-FR"/>
              </w:rPr>
              <w:t>CH</w:t>
            </w:r>
          </w:p>
        </w:tc>
      </w:tr>
      <w:tr w:rsidR="00B74876" w:rsidRPr="00B74876" w:rsidTr="00C54A72">
        <w:trPr>
          <w:trHeight w:val="300"/>
        </w:trPr>
        <w:tc>
          <w:tcPr>
            <w:tcW w:w="4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Nombre de traitement</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4</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Nombre d'herbicide</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4</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Nombre d'heure/ha pour traitement</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5</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Coût main d'œuvre €/ha</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13,82</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13,82</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13,82</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Coût MO traitement/ha</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69,1</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Coût herbicide €/ha</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150</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Coût insecticide €/ha</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Coût phytosanitaires €/ha</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0</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150</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Temps de travail manuel h/ha</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28,8</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28,8</w:t>
            </w:r>
          </w:p>
        </w:tc>
        <w:tc>
          <w:tcPr>
            <w:tcW w:w="1691" w:type="dxa"/>
            <w:tcBorders>
              <w:top w:val="nil"/>
              <w:left w:val="nil"/>
              <w:bottom w:val="single" w:sz="4" w:space="0" w:color="auto"/>
              <w:right w:val="single" w:sz="4" w:space="0" w:color="auto"/>
            </w:tcBorders>
            <w:shd w:val="clear" w:color="auto" w:fill="auto"/>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16,2</w:t>
            </w:r>
          </w:p>
        </w:tc>
      </w:tr>
      <w:tr w:rsidR="00C54A72" w:rsidRPr="00B74876" w:rsidTr="00C54A72">
        <w:trPr>
          <w:trHeight w:val="300"/>
        </w:trPr>
        <w:tc>
          <w:tcPr>
            <w:tcW w:w="4013"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Coût MO €/ha</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398,0</w:t>
            </w:r>
            <w:r w:rsidR="00C54A72">
              <w:rPr>
                <w:rFonts w:cs="Times New Roman"/>
                <w:color w:val="000000"/>
                <w:szCs w:val="22"/>
                <w:lang w:eastAsia="fr-FR"/>
              </w:rPr>
              <w:t>2</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398,0</w:t>
            </w:r>
            <w:r w:rsidR="00C54A72">
              <w:rPr>
                <w:rFonts w:cs="Times New Roman"/>
                <w:color w:val="000000"/>
                <w:szCs w:val="22"/>
                <w:lang w:eastAsia="fr-FR"/>
              </w:rPr>
              <w:t>2</w:t>
            </w:r>
          </w:p>
        </w:tc>
        <w:tc>
          <w:tcPr>
            <w:tcW w:w="1691" w:type="dxa"/>
            <w:tcBorders>
              <w:top w:val="nil"/>
              <w:left w:val="nil"/>
              <w:bottom w:val="single" w:sz="4" w:space="0" w:color="auto"/>
              <w:right w:val="single" w:sz="4" w:space="0" w:color="auto"/>
            </w:tcBorders>
            <w:shd w:val="clear" w:color="auto" w:fill="C6D9F1" w:themeFill="text2" w:themeFillTint="33"/>
            <w:noWrap/>
            <w:vAlign w:val="bottom"/>
            <w:hideMark/>
          </w:tcPr>
          <w:p w:rsidR="00B74876" w:rsidRPr="00B74876" w:rsidRDefault="00B74876" w:rsidP="00B74876">
            <w:pPr>
              <w:suppressAutoHyphens w:val="0"/>
              <w:spacing w:after="0"/>
              <w:jc w:val="center"/>
              <w:rPr>
                <w:rFonts w:cs="Times New Roman"/>
                <w:color w:val="000000"/>
                <w:szCs w:val="22"/>
                <w:lang w:eastAsia="fr-FR"/>
              </w:rPr>
            </w:pPr>
            <w:r w:rsidRPr="00B74876">
              <w:rPr>
                <w:rFonts w:cs="Times New Roman"/>
                <w:color w:val="000000"/>
                <w:szCs w:val="22"/>
                <w:lang w:eastAsia="fr-FR"/>
              </w:rPr>
              <w:t>223,88</w:t>
            </w:r>
          </w:p>
        </w:tc>
      </w:tr>
      <w:tr w:rsidR="00B74876" w:rsidRPr="00B74876" w:rsidTr="00C54A72">
        <w:trPr>
          <w:trHeight w:val="300"/>
        </w:trPr>
        <w:tc>
          <w:tcPr>
            <w:tcW w:w="4013" w:type="dxa"/>
            <w:tcBorders>
              <w:top w:val="nil"/>
              <w:left w:val="single" w:sz="4" w:space="0" w:color="auto"/>
              <w:bottom w:val="single" w:sz="4" w:space="0" w:color="auto"/>
              <w:right w:val="single" w:sz="4" w:space="0" w:color="auto"/>
            </w:tcBorders>
            <w:shd w:val="clear" w:color="000000" w:fill="C4D79B"/>
            <w:noWrap/>
            <w:vAlign w:val="bottom"/>
            <w:hideMark/>
          </w:tcPr>
          <w:p w:rsidR="00B74876" w:rsidRPr="00B74876" w:rsidRDefault="00B74876" w:rsidP="00B74876">
            <w:pPr>
              <w:suppressAutoHyphens w:val="0"/>
              <w:spacing w:after="0"/>
              <w:jc w:val="center"/>
              <w:rPr>
                <w:rFonts w:cs="Times New Roman"/>
                <w:color w:val="C00000"/>
                <w:szCs w:val="22"/>
                <w:lang w:eastAsia="fr-FR"/>
              </w:rPr>
            </w:pPr>
            <w:r w:rsidRPr="00B74876">
              <w:rPr>
                <w:rFonts w:cs="Times New Roman"/>
                <w:color w:val="C00000"/>
                <w:szCs w:val="22"/>
                <w:lang w:eastAsia="fr-FR"/>
              </w:rPr>
              <w:t>Coût total €/ha</w:t>
            </w:r>
          </w:p>
        </w:tc>
        <w:tc>
          <w:tcPr>
            <w:tcW w:w="1691" w:type="dxa"/>
            <w:tcBorders>
              <w:top w:val="nil"/>
              <w:left w:val="nil"/>
              <w:bottom w:val="single" w:sz="4" w:space="0" w:color="auto"/>
              <w:right w:val="single" w:sz="4" w:space="0" w:color="auto"/>
            </w:tcBorders>
            <w:shd w:val="clear" w:color="000000" w:fill="C4D79B"/>
            <w:noWrap/>
            <w:vAlign w:val="bottom"/>
            <w:hideMark/>
          </w:tcPr>
          <w:p w:rsidR="00B74876" w:rsidRPr="00B74876" w:rsidRDefault="00B74876" w:rsidP="00B74876">
            <w:pPr>
              <w:suppressAutoHyphens w:val="0"/>
              <w:spacing w:after="0"/>
              <w:jc w:val="center"/>
              <w:rPr>
                <w:rFonts w:cs="Times New Roman"/>
                <w:color w:val="C00000"/>
                <w:szCs w:val="22"/>
                <w:lang w:eastAsia="fr-FR"/>
              </w:rPr>
            </w:pPr>
            <w:r w:rsidRPr="00B74876">
              <w:rPr>
                <w:rFonts w:cs="Times New Roman"/>
                <w:color w:val="C00000"/>
                <w:szCs w:val="22"/>
                <w:lang w:eastAsia="fr-FR"/>
              </w:rPr>
              <w:t>398,0</w:t>
            </w:r>
            <w:r w:rsidR="00C54A72">
              <w:rPr>
                <w:rFonts w:cs="Times New Roman"/>
                <w:color w:val="C00000"/>
                <w:szCs w:val="22"/>
                <w:lang w:eastAsia="fr-FR"/>
              </w:rPr>
              <w:t>2</w:t>
            </w:r>
          </w:p>
        </w:tc>
        <w:tc>
          <w:tcPr>
            <w:tcW w:w="1691" w:type="dxa"/>
            <w:tcBorders>
              <w:top w:val="nil"/>
              <w:left w:val="nil"/>
              <w:bottom w:val="single" w:sz="4" w:space="0" w:color="auto"/>
              <w:right w:val="single" w:sz="4" w:space="0" w:color="auto"/>
            </w:tcBorders>
            <w:shd w:val="clear" w:color="000000" w:fill="C4D79B"/>
            <w:noWrap/>
            <w:vAlign w:val="bottom"/>
            <w:hideMark/>
          </w:tcPr>
          <w:p w:rsidR="00B74876" w:rsidRPr="00B74876" w:rsidRDefault="00B74876" w:rsidP="00B74876">
            <w:pPr>
              <w:suppressAutoHyphens w:val="0"/>
              <w:spacing w:after="0"/>
              <w:jc w:val="center"/>
              <w:rPr>
                <w:rFonts w:cs="Times New Roman"/>
                <w:color w:val="C00000"/>
                <w:szCs w:val="22"/>
                <w:lang w:eastAsia="fr-FR"/>
              </w:rPr>
            </w:pPr>
            <w:r w:rsidRPr="00B74876">
              <w:rPr>
                <w:rFonts w:cs="Times New Roman"/>
                <w:color w:val="C00000"/>
                <w:szCs w:val="22"/>
                <w:lang w:eastAsia="fr-FR"/>
              </w:rPr>
              <w:t>398,0</w:t>
            </w:r>
            <w:r w:rsidR="00C54A72">
              <w:rPr>
                <w:rFonts w:cs="Times New Roman"/>
                <w:color w:val="C00000"/>
                <w:szCs w:val="22"/>
                <w:lang w:eastAsia="fr-FR"/>
              </w:rPr>
              <w:t>2</w:t>
            </w:r>
          </w:p>
        </w:tc>
        <w:tc>
          <w:tcPr>
            <w:tcW w:w="1691" w:type="dxa"/>
            <w:tcBorders>
              <w:top w:val="nil"/>
              <w:left w:val="nil"/>
              <w:bottom w:val="single" w:sz="4" w:space="0" w:color="auto"/>
              <w:right w:val="single" w:sz="4" w:space="0" w:color="auto"/>
            </w:tcBorders>
            <w:shd w:val="clear" w:color="000000" w:fill="C4D79B"/>
            <w:noWrap/>
            <w:vAlign w:val="bottom"/>
            <w:hideMark/>
          </w:tcPr>
          <w:p w:rsidR="00B74876" w:rsidRPr="00B74876" w:rsidRDefault="00B74876" w:rsidP="00B74876">
            <w:pPr>
              <w:suppressAutoHyphens w:val="0"/>
              <w:spacing w:after="0"/>
              <w:jc w:val="center"/>
              <w:rPr>
                <w:rFonts w:cs="Times New Roman"/>
                <w:color w:val="C00000"/>
                <w:szCs w:val="22"/>
                <w:lang w:eastAsia="fr-FR"/>
              </w:rPr>
            </w:pPr>
            <w:r w:rsidRPr="00B74876">
              <w:rPr>
                <w:rFonts w:cs="Times New Roman"/>
                <w:color w:val="C00000"/>
                <w:szCs w:val="22"/>
                <w:lang w:eastAsia="fr-FR"/>
              </w:rPr>
              <w:t>442,98</w:t>
            </w:r>
          </w:p>
        </w:tc>
      </w:tr>
    </w:tbl>
    <w:p w:rsidR="00252D68" w:rsidRDefault="00252D68" w:rsidP="00AE2CF7">
      <w:pPr>
        <w:suppressAutoHyphens w:val="0"/>
        <w:spacing w:after="200" w:line="276" w:lineRule="auto"/>
        <w:jc w:val="both"/>
        <w:rPr>
          <w:rFonts w:eastAsia="Calibri" w:cs="Times New Roman"/>
          <w:color w:val="00B050"/>
          <w:szCs w:val="22"/>
          <w:lang w:eastAsia="en-US"/>
        </w:rPr>
      </w:pPr>
    </w:p>
    <w:p w:rsidR="00AB32CC" w:rsidRDefault="00C54A72" w:rsidP="00AE2CF7">
      <w:pPr>
        <w:suppressAutoHyphens w:val="0"/>
        <w:spacing w:after="200" w:line="276" w:lineRule="auto"/>
        <w:jc w:val="both"/>
        <w:rPr>
          <w:rFonts w:eastAsia="Calibri" w:cs="Times New Roman"/>
          <w:szCs w:val="22"/>
          <w:lang w:eastAsia="en-US"/>
        </w:rPr>
      </w:pPr>
      <w:r>
        <w:rPr>
          <w:rFonts w:eastAsia="Calibri" w:cs="Times New Roman"/>
          <w:szCs w:val="22"/>
          <w:lang w:eastAsia="en-US"/>
        </w:rPr>
        <w:t xml:space="preserve">L’écart entre les modalités en plus important dans cette parcelle. En effet, les temps de travaux </w:t>
      </w:r>
      <w:r w:rsidR="00AB32CC">
        <w:rPr>
          <w:rFonts w:eastAsia="Calibri" w:cs="Times New Roman"/>
          <w:szCs w:val="22"/>
          <w:lang w:eastAsia="en-US"/>
        </w:rPr>
        <w:t xml:space="preserve">entre les SdC sont </w:t>
      </w:r>
      <w:r w:rsidR="00232528">
        <w:rPr>
          <w:rFonts w:eastAsia="Calibri" w:cs="Times New Roman"/>
          <w:szCs w:val="22"/>
          <w:lang w:eastAsia="en-US"/>
        </w:rPr>
        <w:t>comparables. Le coût de la main-</w:t>
      </w:r>
      <w:r w:rsidR="00AB32CC">
        <w:rPr>
          <w:rFonts w:eastAsia="Calibri" w:cs="Times New Roman"/>
          <w:szCs w:val="22"/>
          <w:lang w:eastAsia="en-US"/>
        </w:rPr>
        <w:t>d’œuvre pour le désherbage mécanique est donc moins important que l’achat et l’application de produit</w:t>
      </w:r>
      <w:r w:rsidR="00232528">
        <w:rPr>
          <w:rFonts w:eastAsia="Calibri" w:cs="Times New Roman"/>
          <w:szCs w:val="22"/>
          <w:lang w:eastAsia="en-US"/>
        </w:rPr>
        <w:t>s</w:t>
      </w:r>
      <w:r w:rsidR="00AB32CC">
        <w:rPr>
          <w:rFonts w:eastAsia="Calibri" w:cs="Times New Roman"/>
          <w:szCs w:val="22"/>
          <w:lang w:eastAsia="en-US"/>
        </w:rPr>
        <w:t xml:space="preserve"> phytosanitaire</w:t>
      </w:r>
      <w:r w:rsidR="00232528">
        <w:rPr>
          <w:rFonts w:eastAsia="Calibri" w:cs="Times New Roman"/>
          <w:szCs w:val="22"/>
          <w:lang w:eastAsia="en-US"/>
        </w:rPr>
        <w:t>s</w:t>
      </w:r>
      <w:r w:rsidR="00AB32CC">
        <w:rPr>
          <w:rFonts w:eastAsia="Calibri" w:cs="Times New Roman"/>
          <w:szCs w:val="22"/>
          <w:lang w:eastAsia="en-US"/>
        </w:rPr>
        <w:t xml:space="preserve"> sur cette parcelle.</w:t>
      </w:r>
    </w:p>
    <w:p w:rsidR="0040739B" w:rsidRPr="005F070D" w:rsidRDefault="0040739B" w:rsidP="00AE2CF7">
      <w:pPr>
        <w:suppressAutoHyphens w:val="0"/>
        <w:spacing w:after="200" w:line="276" w:lineRule="auto"/>
        <w:jc w:val="both"/>
        <w:rPr>
          <w:rFonts w:eastAsia="Calibri" w:cs="Times New Roman"/>
          <w:b/>
          <w:sz w:val="24"/>
          <w:lang w:eastAsia="en-US"/>
        </w:rPr>
      </w:pPr>
      <w:r w:rsidRPr="005F070D">
        <w:rPr>
          <w:rFonts w:eastAsia="Calibri" w:cs="Times New Roman"/>
          <w:b/>
          <w:sz w:val="24"/>
          <w:lang w:eastAsia="en-US"/>
        </w:rPr>
        <w:t>Les indicateurs environnementaux</w:t>
      </w:r>
    </w:p>
    <w:p w:rsidR="00431ECC" w:rsidRDefault="0040739B" w:rsidP="00AE2CF7">
      <w:pPr>
        <w:suppressAutoHyphens w:val="0"/>
        <w:spacing w:after="200" w:line="276" w:lineRule="auto"/>
        <w:jc w:val="both"/>
        <w:rPr>
          <w:rFonts w:eastAsia="Calibri" w:cs="Times New Roman"/>
          <w:sz w:val="24"/>
          <w:u w:val="single"/>
          <w:lang w:eastAsia="en-US"/>
        </w:rPr>
      </w:pPr>
      <w:r w:rsidRPr="005F070D">
        <w:rPr>
          <w:rFonts w:eastAsia="Calibri" w:cs="Times New Roman"/>
          <w:sz w:val="24"/>
          <w:u w:val="single"/>
          <w:lang w:eastAsia="en-US"/>
        </w:rPr>
        <w:t>Les acariens</w:t>
      </w:r>
    </w:p>
    <w:p w:rsidR="00431ECC" w:rsidRDefault="00431ECC" w:rsidP="00AE2CF7">
      <w:pPr>
        <w:suppressAutoHyphens w:val="0"/>
        <w:spacing w:after="200" w:line="276" w:lineRule="auto"/>
        <w:jc w:val="both"/>
        <w:rPr>
          <w:rFonts w:eastAsia="Calibri" w:cs="Times New Roman"/>
          <w:color w:val="00B050"/>
          <w:sz w:val="24"/>
          <w:lang w:eastAsia="en-US"/>
        </w:rPr>
      </w:pPr>
      <w:r w:rsidRPr="00431ECC">
        <w:rPr>
          <w:rFonts w:eastAsia="Calibri" w:cs="Times New Roman"/>
          <w:color w:val="00B050"/>
          <w:sz w:val="24"/>
          <w:lang w:eastAsia="en-US"/>
        </w:rPr>
        <w:t>Kiwi 2004</w:t>
      </w:r>
    </w:p>
    <w:p w:rsidR="000C08B4" w:rsidRPr="000C08B4" w:rsidRDefault="000C08B4" w:rsidP="00AE2CF7">
      <w:pPr>
        <w:suppressAutoHyphens w:val="0"/>
        <w:spacing w:after="200" w:line="276" w:lineRule="auto"/>
        <w:jc w:val="both"/>
        <w:rPr>
          <w:rFonts w:eastAsia="Calibri" w:cs="Times New Roman"/>
          <w:sz w:val="24"/>
          <w:lang w:eastAsia="en-US"/>
        </w:rPr>
      </w:pPr>
      <w:r>
        <w:rPr>
          <w:rFonts w:eastAsia="Calibri" w:cs="Times New Roman"/>
          <w:sz w:val="24"/>
          <w:lang w:eastAsia="en-US"/>
        </w:rPr>
        <w:t xml:space="preserve">Sur cette parcelle, deux espèces d’acariens ont été retrouvées : </w:t>
      </w:r>
      <w:r w:rsidRPr="000C08B4">
        <w:rPr>
          <w:rFonts w:eastAsia="Calibri" w:cs="Times New Roman"/>
          <w:i/>
          <w:sz w:val="24"/>
          <w:lang w:eastAsia="en-US"/>
        </w:rPr>
        <w:t>Phytoseius finitimus</w:t>
      </w:r>
      <w:r>
        <w:rPr>
          <w:rFonts w:eastAsia="Calibri" w:cs="Times New Roman"/>
          <w:sz w:val="24"/>
          <w:lang w:eastAsia="en-US"/>
        </w:rPr>
        <w:t xml:space="preserve"> et </w:t>
      </w:r>
      <w:r w:rsidRPr="000C08B4">
        <w:rPr>
          <w:rFonts w:eastAsia="Calibri" w:cs="Times New Roman"/>
          <w:i/>
          <w:sz w:val="24"/>
          <w:lang w:eastAsia="en-US"/>
        </w:rPr>
        <w:t>Amblyseius andersoni</w:t>
      </w:r>
      <w:r>
        <w:rPr>
          <w:rFonts w:eastAsia="Calibri" w:cs="Times New Roman"/>
          <w:i/>
          <w:sz w:val="24"/>
          <w:lang w:eastAsia="en-US"/>
        </w:rPr>
        <w:t xml:space="preserve">. </w:t>
      </w:r>
      <w:r>
        <w:rPr>
          <w:rFonts w:eastAsia="Calibri" w:cs="Times New Roman"/>
          <w:sz w:val="24"/>
          <w:lang w:eastAsia="en-US"/>
        </w:rPr>
        <w:t>Ces deux espèces ont été observées sur tous les SdC.</w:t>
      </w:r>
    </w:p>
    <w:p w:rsidR="000C08B4" w:rsidRDefault="000C08B4" w:rsidP="000C08B4">
      <w:pPr>
        <w:keepNext/>
        <w:suppressAutoHyphens w:val="0"/>
        <w:spacing w:after="200" w:line="276" w:lineRule="auto"/>
        <w:jc w:val="center"/>
      </w:pPr>
      <w:r>
        <w:rPr>
          <w:noProof/>
          <w:lang w:eastAsia="fr-FR"/>
        </w:rPr>
        <w:lastRenderedPageBreak/>
        <w:drawing>
          <wp:inline distT="0" distB="0" distL="0" distR="0" wp14:anchorId="0FE5B4D5" wp14:editId="7A5714C2">
            <wp:extent cx="4320000" cy="2520000"/>
            <wp:effectExtent l="0" t="0" r="23495" b="139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1ECC" w:rsidRDefault="000C08B4" w:rsidP="000C08B4">
      <w:pPr>
        <w:pStyle w:val="Lgende"/>
        <w:jc w:val="center"/>
      </w:pPr>
      <w:r>
        <w:t xml:space="preserve">Figure </w:t>
      </w:r>
      <w:r w:rsidR="008F72D3">
        <w:fldChar w:fldCharType="begin"/>
      </w:r>
      <w:r w:rsidR="008F72D3">
        <w:instrText xml:space="preserve"> SEQ Figure \* ARABIC </w:instrText>
      </w:r>
      <w:r w:rsidR="008F72D3">
        <w:fldChar w:fldCharType="separate"/>
      </w:r>
      <w:r w:rsidR="00DA2B09">
        <w:rPr>
          <w:noProof/>
        </w:rPr>
        <w:t>19</w:t>
      </w:r>
      <w:r w:rsidR="008F72D3">
        <w:rPr>
          <w:noProof/>
        </w:rPr>
        <w:fldChar w:fldCharType="end"/>
      </w:r>
      <w:r>
        <w:t xml:space="preserve"> : répartition des populations d'acariens par modalité et par mois</w:t>
      </w:r>
    </w:p>
    <w:p w:rsidR="000C08B4" w:rsidRPr="000C08B4" w:rsidRDefault="000C08B4" w:rsidP="000C08B4">
      <w:pPr>
        <w:rPr>
          <w:rFonts w:eastAsia="Calibri"/>
          <w:lang w:eastAsia="en-US"/>
        </w:rPr>
      </w:pPr>
      <w:r>
        <w:rPr>
          <w:rFonts w:eastAsia="Calibri"/>
          <w:lang w:eastAsia="en-US"/>
        </w:rPr>
        <w:t xml:space="preserve">Trois prélèvements ont été effectués dans l’année. Les populations d’acariens sont équivalentes dans les modalités sans intrant et en diminutions d’intrants. </w:t>
      </w:r>
    </w:p>
    <w:p w:rsidR="003C048F" w:rsidRPr="00431ECC" w:rsidRDefault="00431ECC" w:rsidP="00431ECC">
      <w:pPr>
        <w:suppressAutoHyphens w:val="0"/>
        <w:spacing w:after="200" w:line="276" w:lineRule="auto"/>
        <w:jc w:val="both"/>
        <w:rPr>
          <w:rFonts w:eastAsia="Calibri" w:cs="Times New Roman"/>
          <w:color w:val="00B050"/>
          <w:sz w:val="24"/>
          <w:lang w:eastAsia="en-US"/>
        </w:rPr>
      </w:pPr>
      <w:r w:rsidRPr="00431ECC">
        <w:rPr>
          <w:rFonts w:eastAsia="Calibri" w:cs="Times New Roman"/>
          <w:color w:val="00B050"/>
          <w:sz w:val="24"/>
          <w:lang w:eastAsia="en-US"/>
        </w:rPr>
        <w:t>Kiwi 2012</w:t>
      </w:r>
      <w:r w:rsidR="00746502" w:rsidRPr="002E3ABA">
        <w:rPr>
          <w:rFonts w:cs="Times New Roman"/>
          <w:i/>
          <w:szCs w:val="22"/>
        </w:rPr>
        <w:t xml:space="preserve">. </w:t>
      </w:r>
    </w:p>
    <w:p w:rsidR="003C048F" w:rsidRPr="002E3ABA" w:rsidRDefault="00431ECC" w:rsidP="00AE2CF7">
      <w:pPr>
        <w:spacing w:line="276" w:lineRule="auto"/>
        <w:jc w:val="lowKashida"/>
        <w:rPr>
          <w:rFonts w:cs="Times New Roman"/>
          <w:szCs w:val="22"/>
        </w:rPr>
      </w:pPr>
      <w:r>
        <w:rPr>
          <w:rFonts w:cs="Times New Roman"/>
          <w:szCs w:val="22"/>
        </w:rPr>
        <w:t xml:space="preserve">Au total trois espèces ont été recensées sur cette parcelle. </w:t>
      </w:r>
      <w:r w:rsidR="00746502" w:rsidRPr="002E3ABA">
        <w:rPr>
          <w:rFonts w:cs="Times New Roman"/>
          <w:i/>
          <w:szCs w:val="22"/>
        </w:rPr>
        <w:t>P. finitimus</w:t>
      </w:r>
      <w:r w:rsidR="00746502" w:rsidRPr="002E3ABA" w:rsidDel="00410963">
        <w:rPr>
          <w:rFonts w:cs="Times New Roman"/>
          <w:i/>
          <w:szCs w:val="22"/>
        </w:rPr>
        <w:t xml:space="preserve"> </w:t>
      </w:r>
      <w:r w:rsidR="00746502" w:rsidRPr="002E3ABA">
        <w:rPr>
          <w:rFonts w:cs="Times New Roman"/>
          <w:szCs w:val="22"/>
        </w:rPr>
        <w:t>était l’espèce la plus abondant</w:t>
      </w:r>
      <w:r w:rsidR="003C048F" w:rsidRPr="002E3ABA">
        <w:rPr>
          <w:rFonts w:cs="Times New Roman"/>
          <w:szCs w:val="22"/>
        </w:rPr>
        <w:t xml:space="preserve">e et la seule espèce présente sur les trois modalités. </w:t>
      </w:r>
      <w:r w:rsidR="003C048F" w:rsidRPr="002E3ABA">
        <w:rPr>
          <w:rFonts w:cs="Times New Roman"/>
          <w:i/>
          <w:szCs w:val="22"/>
        </w:rPr>
        <w:t>A. andersoni</w:t>
      </w:r>
      <w:r>
        <w:rPr>
          <w:rFonts w:cs="Times New Roman"/>
          <w:i/>
          <w:szCs w:val="22"/>
        </w:rPr>
        <w:t xml:space="preserve"> et E. stipulatus </w:t>
      </w:r>
      <w:r w:rsidRPr="00431ECC">
        <w:rPr>
          <w:rFonts w:cs="Times New Roman"/>
          <w:szCs w:val="22"/>
        </w:rPr>
        <w:t>n’ont</w:t>
      </w:r>
      <w:r w:rsidR="003C048F" w:rsidRPr="00431ECC">
        <w:rPr>
          <w:rFonts w:cs="Times New Roman"/>
          <w:szCs w:val="22"/>
        </w:rPr>
        <w:t xml:space="preserve"> </w:t>
      </w:r>
      <w:r w:rsidR="003C048F" w:rsidRPr="002E3ABA">
        <w:rPr>
          <w:rFonts w:cs="Times New Roman"/>
          <w:szCs w:val="22"/>
        </w:rPr>
        <w:t>été observé</w:t>
      </w:r>
      <w:r>
        <w:rPr>
          <w:rFonts w:cs="Times New Roman"/>
          <w:szCs w:val="22"/>
        </w:rPr>
        <w:t>s</w:t>
      </w:r>
      <w:r w:rsidR="003C048F" w:rsidRPr="002E3ABA">
        <w:rPr>
          <w:rFonts w:cs="Times New Roman"/>
          <w:szCs w:val="22"/>
        </w:rPr>
        <w:t xml:space="preserve"> </w:t>
      </w:r>
      <w:r>
        <w:rPr>
          <w:rFonts w:cs="Times New Roman"/>
          <w:szCs w:val="22"/>
        </w:rPr>
        <w:t>que sur la modalité</w:t>
      </w:r>
      <w:r w:rsidR="003C048F" w:rsidRPr="002E3ABA">
        <w:rPr>
          <w:rFonts w:cs="Times New Roman"/>
          <w:szCs w:val="22"/>
        </w:rPr>
        <w:t xml:space="preserve"> </w:t>
      </w:r>
      <w:r>
        <w:rPr>
          <w:rFonts w:cs="Times New Roman"/>
          <w:szCs w:val="22"/>
        </w:rPr>
        <w:t>en réduction d’intrants</w:t>
      </w:r>
      <w:r w:rsidR="003C048F" w:rsidRPr="002E3ABA">
        <w:rPr>
          <w:rFonts w:cs="Times New Roman"/>
          <w:szCs w:val="22"/>
        </w:rPr>
        <w:t>.</w:t>
      </w:r>
    </w:p>
    <w:p w:rsidR="00746502" w:rsidRPr="005F070D" w:rsidRDefault="00431ECC" w:rsidP="00431ECC">
      <w:pPr>
        <w:spacing w:line="276" w:lineRule="auto"/>
        <w:jc w:val="center"/>
        <w:rPr>
          <w:rFonts w:cs="Times New Roman"/>
          <w:sz w:val="24"/>
        </w:rPr>
      </w:pPr>
      <w:r>
        <w:rPr>
          <w:noProof/>
          <w:lang w:eastAsia="fr-FR"/>
        </w:rPr>
        <w:drawing>
          <wp:inline distT="0" distB="0" distL="0" distR="0" wp14:anchorId="79C45E51" wp14:editId="7D6355C3">
            <wp:extent cx="4320000" cy="2520000"/>
            <wp:effectExtent l="0" t="0" r="23495" b="1397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46502" w:rsidRPr="005F070D" w:rsidRDefault="00746502" w:rsidP="00AE2CF7">
      <w:pPr>
        <w:pStyle w:val="Lgende"/>
        <w:spacing w:line="276" w:lineRule="auto"/>
        <w:jc w:val="center"/>
      </w:pPr>
      <w:r w:rsidRPr="005F070D">
        <w:t xml:space="preserve">Figure </w:t>
      </w:r>
      <w:r w:rsidR="008F72D3">
        <w:fldChar w:fldCharType="begin"/>
      </w:r>
      <w:r w:rsidR="008F72D3">
        <w:instrText xml:space="preserve"> SEQ Figure \* ARABIC </w:instrText>
      </w:r>
      <w:r w:rsidR="008F72D3">
        <w:fldChar w:fldCharType="separate"/>
      </w:r>
      <w:r w:rsidR="00DA2B09">
        <w:rPr>
          <w:noProof/>
        </w:rPr>
        <w:t>20</w:t>
      </w:r>
      <w:r w:rsidR="008F72D3">
        <w:rPr>
          <w:noProof/>
        </w:rPr>
        <w:fldChar w:fldCharType="end"/>
      </w:r>
      <w:r w:rsidRPr="005F070D">
        <w:t xml:space="preserve"> : Répartition des populations d'acariens par modalité et par mois</w:t>
      </w:r>
    </w:p>
    <w:p w:rsidR="002E3ABA" w:rsidRDefault="002E3ABA" w:rsidP="00AE2CF7">
      <w:pPr>
        <w:spacing w:line="276" w:lineRule="auto"/>
        <w:jc w:val="both"/>
        <w:rPr>
          <w:rFonts w:cs="Times New Roman"/>
          <w:szCs w:val="22"/>
          <w:lang w:eastAsia="en-US"/>
        </w:rPr>
      </w:pPr>
    </w:p>
    <w:p w:rsidR="000F45AE" w:rsidRDefault="000C08B4" w:rsidP="000F45AE">
      <w:pPr>
        <w:spacing w:line="276" w:lineRule="auto"/>
        <w:jc w:val="both"/>
        <w:rPr>
          <w:rFonts w:cs="Times New Roman"/>
          <w:szCs w:val="22"/>
          <w:lang w:eastAsia="en-US"/>
        </w:rPr>
      </w:pPr>
      <w:r w:rsidRPr="000F45AE">
        <w:rPr>
          <w:rFonts w:cs="Times New Roman"/>
          <w:szCs w:val="22"/>
          <w:lang w:eastAsia="en-US"/>
        </w:rPr>
        <w:t>Comme dans la parcelle de 2004, très peu d’acariens ont été retrouvés au mois de juin</w:t>
      </w:r>
      <w:r w:rsidR="00746502" w:rsidRPr="000F45AE">
        <w:rPr>
          <w:rFonts w:cs="Times New Roman"/>
          <w:szCs w:val="22"/>
          <w:lang w:eastAsia="en-US"/>
        </w:rPr>
        <w:t xml:space="preserve">. </w:t>
      </w:r>
      <w:r w:rsidRPr="000F45AE">
        <w:rPr>
          <w:rFonts w:cs="Times New Roman"/>
          <w:szCs w:val="22"/>
          <w:lang w:eastAsia="en-US"/>
        </w:rPr>
        <w:t>Les populations ont été plus importantes dans la modalité sans intrant et légèrement inférieur dans la modalité « 50% ».</w:t>
      </w:r>
    </w:p>
    <w:p w:rsidR="000F45AE" w:rsidRDefault="000F45AE" w:rsidP="000F45AE">
      <w:pPr>
        <w:spacing w:line="276" w:lineRule="auto"/>
        <w:jc w:val="both"/>
        <w:rPr>
          <w:rFonts w:cs="Times New Roman"/>
          <w:szCs w:val="22"/>
          <w:lang w:eastAsia="en-US"/>
        </w:rPr>
      </w:pPr>
    </w:p>
    <w:p w:rsidR="000F45AE" w:rsidRDefault="000F45AE" w:rsidP="000F45AE">
      <w:pPr>
        <w:spacing w:line="276" w:lineRule="auto"/>
        <w:jc w:val="both"/>
        <w:rPr>
          <w:rFonts w:cs="Times New Roman"/>
          <w:szCs w:val="22"/>
          <w:lang w:eastAsia="en-US"/>
        </w:rPr>
      </w:pPr>
    </w:p>
    <w:p w:rsidR="000F45AE" w:rsidRDefault="000F45AE" w:rsidP="000F45AE">
      <w:pPr>
        <w:spacing w:line="276" w:lineRule="auto"/>
        <w:jc w:val="both"/>
        <w:rPr>
          <w:rFonts w:cs="Times New Roman"/>
          <w:szCs w:val="22"/>
          <w:lang w:eastAsia="en-US"/>
        </w:rPr>
      </w:pPr>
    </w:p>
    <w:p w:rsidR="000F45AE" w:rsidRPr="000F45AE" w:rsidRDefault="000F45AE" w:rsidP="000F45AE">
      <w:pPr>
        <w:spacing w:line="276" w:lineRule="auto"/>
        <w:jc w:val="both"/>
        <w:rPr>
          <w:rFonts w:eastAsia="Calibri"/>
          <w:sz w:val="24"/>
        </w:rPr>
      </w:pPr>
    </w:p>
    <w:p w:rsidR="0040739B" w:rsidRPr="000F45AE" w:rsidRDefault="004C360C" w:rsidP="000F45AE">
      <w:pPr>
        <w:pStyle w:val="Titre3"/>
        <w:numPr>
          <w:ilvl w:val="0"/>
          <w:numId w:val="33"/>
        </w:numPr>
        <w:rPr>
          <w:rFonts w:eastAsia="Calibri"/>
          <w:sz w:val="24"/>
        </w:rPr>
      </w:pPr>
      <w:bookmarkStart w:id="27" w:name="_Toc446344578"/>
      <w:r w:rsidRPr="000F45AE">
        <w:rPr>
          <w:rFonts w:eastAsia="Calibri"/>
        </w:rPr>
        <w:lastRenderedPageBreak/>
        <w:t>La vigne</w:t>
      </w:r>
      <w:bookmarkEnd w:id="27"/>
    </w:p>
    <w:p w:rsidR="00355202" w:rsidRPr="00355202" w:rsidRDefault="00355202" w:rsidP="00355202">
      <w:pPr>
        <w:rPr>
          <w:b/>
        </w:rPr>
      </w:pPr>
      <w:r w:rsidRPr="00355202">
        <w:rPr>
          <w:b/>
        </w:rPr>
        <w:t xml:space="preserve">Climatologie </w:t>
      </w:r>
      <w:r w:rsidR="00232528">
        <w:rPr>
          <w:b/>
        </w:rPr>
        <w:t xml:space="preserve">sur la commune de Tallone </w:t>
      </w:r>
      <w:r w:rsidRPr="00355202">
        <w:rPr>
          <w:b/>
        </w:rPr>
        <w:t xml:space="preserve">et situation phytosanitaire </w:t>
      </w:r>
    </w:p>
    <w:p w:rsidR="00355202" w:rsidRDefault="00355202" w:rsidP="00355202"/>
    <w:p w:rsidR="00355202" w:rsidRDefault="00355202" w:rsidP="00355202">
      <w:pPr>
        <w:keepNext/>
        <w:jc w:val="center"/>
      </w:pPr>
      <w:r>
        <w:fldChar w:fldCharType="begin"/>
      </w:r>
      <w:r>
        <w:instrText xml:space="preserve"> LINK Excel.Sheet.8 "" "" \a \p \* MERGEFORMAT </w:instrText>
      </w:r>
      <w:r>
        <w:fldChar w:fldCharType="separate"/>
      </w:r>
      <w:r>
        <w:rPr>
          <w:noProof/>
          <w:lang w:eastAsia="fr-FR"/>
        </w:rPr>
        <w:drawing>
          <wp:inline distT="0" distB="0" distL="0" distR="0" wp14:anchorId="0997C1F2" wp14:editId="1DF823AD">
            <wp:extent cx="5419725" cy="3076575"/>
            <wp:effectExtent l="0" t="0" r="9525" b="952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725" cy="3076575"/>
                    </a:xfrm>
                    <a:prstGeom prst="rect">
                      <a:avLst/>
                    </a:prstGeom>
                    <a:noFill/>
                    <a:ln>
                      <a:noFill/>
                    </a:ln>
                  </pic:spPr>
                </pic:pic>
              </a:graphicData>
            </a:graphic>
          </wp:inline>
        </w:drawing>
      </w:r>
      <w:r>
        <w:fldChar w:fldCharType="end"/>
      </w:r>
    </w:p>
    <w:p w:rsidR="00355202" w:rsidRDefault="00355202" w:rsidP="00355202">
      <w:pPr>
        <w:pStyle w:val="Lgende"/>
        <w:jc w:val="center"/>
      </w:pPr>
      <w:r>
        <w:t xml:space="preserve">Figure </w:t>
      </w:r>
      <w:r w:rsidR="008F72D3">
        <w:fldChar w:fldCharType="begin"/>
      </w:r>
      <w:r w:rsidR="008F72D3">
        <w:instrText xml:space="preserve"> SEQ Figure \* ARABIC </w:instrText>
      </w:r>
      <w:r w:rsidR="008F72D3">
        <w:fldChar w:fldCharType="separate"/>
      </w:r>
      <w:r w:rsidR="00DA2B09">
        <w:rPr>
          <w:noProof/>
        </w:rPr>
        <w:t>21</w:t>
      </w:r>
      <w:r w:rsidR="008F72D3">
        <w:rPr>
          <w:noProof/>
        </w:rPr>
        <w:fldChar w:fldCharType="end"/>
      </w:r>
      <w:r>
        <w:t xml:space="preserve"> : températures moyennes et pluviométrie</w:t>
      </w:r>
    </w:p>
    <w:p w:rsidR="00355202" w:rsidRDefault="00355202" w:rsidP="00355202">
      <w:pPr>
        <w:jc w:val="both"/>
      </w:pPr>
      <w:r>
        <w:t>Les données climatiques proviennent de la station météorologique de Tallone, proche de la parcelle expérimentale.</w:t>
      </w:r>
    </w:p>
    <w:p w:rsidR="00355202" w:rsidRPr="00355202" w:rsidRDefault="00355202" w:rsidP="00355202">
      <w:pPr>
        <w:jc w:val="both"/>
      </w:pPr>
    </w:p>
    <w:p w:rsidR="00355202" w:rsidRDefault="00355202" w:rsidP="00355202">
      <w:pPr>
        <w:jc w:val="both"/>
        <w:rPr>
          <w:highlight w:val="yellow"/>
          <w:u w:val="single"/>
        </w:rPr>
      </w:pPr>
      <w:r>
        <w:rPr>
          <w:u w:val="single"/>
        </w:rPr>
        <w:t xml:space="preserve">Caractéristiques de millésime 2015 en Corse </w:t>
      </w:r>
    </w:p>
    <w:p w:rsidR="00355202" w:rsidRDefault="00355202" w:rsidP="00355202">
      <w:pPr>
        <w:jc w:val="both"/>
      </w:pPr>
      <w:r>
        <w:t>Les conditions climatiques hivernales ont provoqué un débourrement relativement tardif.</w:t>
      </w:r>
    </w:p>
    <w:p w:rsidR="00355202" w:rsidRDefault="00355202" w:rsidP="00355202">
      <w:pPr>
        <w:jc w:val="both"/>
      </w:pPr>
      <w:r>
        <w:t>Ce retard a été constaté jusqu'à la floraison. Les conditions caniculaires en été ont engendré une véraison normale à précoce, avec des situations très hétérogènes.</w:t>
      </w:r>
    </w:p>
    <w:p w:rsidR="00355202" w:rsidRDefault="00355202" w:rsidP="00355202">
      <w:pPr>
        <w:jc w:val="both"/>
      </w:pPr>
      <w:r>
        <w:t>Le risque mildiou a été moyen au départ de l'épidémie, puis en décroissance et nul par la suite.</w:t>
      </w:r>
    </w:p>
    <w:p w:rsidR="00355202" w:rsidRDefault="00355202" w:rsidP="00355202">
      <w:pPr>
        <w:jc w:val="both"/>
      </w:pPr>
      <w:r>
        <w:t>En ce qui concerne l’oïdium, au stade fermeture de la grappe, de nombreuses parcelles ont été touchées, mais avec un attaque de faible intensité. D’un point de vue qualitatif comme quantitatif, aucune incidence n’a été relevée sur la récolte.</w:t>
      </w:r>
    </w:p>
    <w:p w:rsidR="00355202" w:rsidRDefault="00355202" w:rsidP="00355202">
      <w:pPr>
        <w:jc w:val="both"/>
      </w:pPr>
      <w:r>
        <w:t>Pour ce qui est des ravageurs, peu de problèmes sont survenus en 2015, si ce n’est localement, de fortes remontées de populations de cicadelles vertes.</w:t>
      </w:r>
    </w:p>
    <w:p w:rsidR="00355202" w:rsidRDefault="00355202" w:rsidP="00355202">
      <w:pPr>
        <w:jc w:val="both"/>
        <w:rPr>
          <w:u w:val="single"/>
        </w:rPr>
      </w:pPr>
      <w:r>
        <w:rPr>
          <w:u w:val="single"/>
        </w:rPr>
        <w:t>Caractéristiques du millés</w:t>
      </w:r>
      <w:r w:rsidR="00827897">
        <w:rPr>
          <w:u w:val="single"/>
        </w:rPr>
        <w:t>ime 2015 sur la parcelle Dephy E</w:t>
      </w:r>
      <w:r>
        <w:rPr>
          <w:u w:val="single"/>
        </w:rPr>
        <w:t>xpe</w:t>
      </w:r>
    </w:p>
    <w:p w:rsidR="00355202" w:rsidRDefault="00232528" w:rsidP="00355202">
      <w:pPr>
        <w:tabs>
          <w:tab w:val="left" w:pos="1560"/>
        </w:tabs>
        <w:jc w:val="both"/>
      </w:pPr>
      <w:r>
        <w:t>Sur la parcelle Dephy Expé</w:t>
      </w:r>
      <w:r w:rsidR="00355202">
        <w:t>, la phénologie 2015 est identique à celle des millésimes précédents, à savoir floraison début juin, la fermeture de la grappe fin juin et la véraison début août. La pression phytosanitaire, globalement faible, est à rapprocher de celle observée lors des millésimes 2012 et 2013.</w:t>
      </w:r>
    </w:p>
    <w:p w:rsidR="00355202" w:rsidRDefault="00355202" w:rsidP="00355202">
      <w:pPr>
        <w:spacing w:after="200" w:line="276" w:lineRule="auto"/>
      </w:pPr>
    </w:p>
    <w:p w:rsidR="00355202" w:rsidRDefault="00355202" w:rsidP="00355202">
      <w:pPr>
        <w:spacing w:after="200" w:line="276" w:lineRule="auto"/>
      </w:pPr>
    </w:p>
    <w:p w:rsidR="00355202" w:rsidRDefault="00355202" w:rsidP="00355202">
      <w:pPr>
        <w:spacing w:after="200" w:line="276" w:lineRule="auto"/>
      </w:pPr>
    </w:p>
    <w:p w:rsidR="0064188D" w:rsidRDefault="0064188D" w:rsidP="00355202">
      <w:pPr>
        <w:spacing w:after="200" w:line="276" w:lineRule="auto"/>
      </w:pPr>
    </w:p>
    <w:p w:rsidR="00355202" w:rsidRPr="00827897" w:rsidRDefault="00355202" w:rsidP="00355202">
      <w:pPr>
        <w:rPr>
          <w:u w:val="single"/>
        </w:rPr>
      </w:pPr>
      <w:r w:rsidRPr="00827897">
        <w:rPr>
          <w:u w:val="single"/>
        </w:rPr>
        <w:lastRenderedPageBreak/>
        <w:t xml:space="preserve">Rappel de la situation en 2014 : </w:t>
      </w:r>
    </w:p>
    <w:p w:rsidR="00355202" w:rsidRDefault="00355202" w:rsidP="00355202">
      <w:pPr>
        <w:jc w:val="both"/>
        <w:rPr>
          <w:i/>
        </w:rPr>
      </w:pPr>
      <w:r>
        <w:rPr>
          <w:i/>
        </w:rPr>
        <w:t xml:space="preserve">4 modalités : témoin non traité, réduction de dose, pleine dose et pleine dose + travaux en vert. </w:t>
      </w:r>
    </w:p>
    <w:p w:rsidR="00355202" w:rsidRDefault="00355202" w:rsidP="00355202">
      <w:pPr>
        <w:jc w:val="both"/>
        <w:rPr>
          <w:i/>
        </w:rPr>
      </w:pPr>
      <w:r>
        <w:rPr>
          <w:i/>
        </w:rPr>
        <w:t>Le millésime 2014 a été différent des millésimes 2012 et 2013 du point de vue pression fongique, avec des niveaux d’attaques conséquent pour la modalité « témoin non traité », tant en fréquence qu’en intensité, sur feuilles comme sur grappes, pour le mildiou, l’oïdium, le botrytis et la pourriture acide.</w:t>
      </w:r>
    </w:p>
    <w:p w:rsidR="00355202" w:rsidRDefault="00355202" w:rsidP="00355202">
      <w:pPr>
        <w:jc w:val="both"/>
        <w:rPr>
          <w:i/>
        </w:rPr>
      </w:pPr>
      <w:r>
        <w:rPr>
          <w:i/>
        </w:rPr>
        <w:t>Les autres modalités (réduction et pleines doses) présentaient également des attaques sur feuilles et sur grappes mais à une intensité modérée, ce qui n’a pas impacté la qualité finale de la vendange, celle-ci correspondant alors aux objectifs de production définis pour chaque modalité (AOP et AOP cuvée « haut de gamme » pour les modalités pleines doses et IGP pour la modalité réduction).</w:t>
      </w:r>
    </w:p>
    <w:p w:rsidR="00355202" w:rsidRDefault="00355202" w:rsidP="00355202">
      <w:pPr>
        <w:jc w:val="both"/>
        <w:rPr>
          <w:i/>
        </w:rPr>
      </w:pPr>
    </w:p>
    <w:p w:rsidR="00355202" w:rsidRPr="00355202" w:rsidRDefault="00355202" w:rsidP="00355202">
      <w:pPr>
        <w:jc w:val="center"/>
        <w:rPr>
          <w:b/>
        </w:rPr>
      </w:pPr>
      <w:r w:rsidRPr="00355202">
        <w:rPr>
          <w:b/>
        </w:rPr>
        <w:t>Maladies cryptogamiques</w:t>
      </w:r>
    </w:p>
    <w:p w:rsidR="00355202" w:rsidRDefault="00355202" w:rsidP="00355202"/>
    <w:p w:rsidR="00355202" w:rsidRDefault="00355202" w:rsidP="00355202">
      <w:pPr>
        <w:keepNext/>
        <w:jc w:val="center"/>
      </w:pPr>
      <w:r>
        <w:rPr>
          <w:noProof/>
        </w:rPr>
        <w:fldChar w:fldCharType="begin"/>
      </w:r>
      <w:r>
        <w:rPr>
          <w:noProof/>
        </w:rPr>
        <w:instrText xml:space="preserve"> LINK Excel.Sheet.8 "" "" \a \p </w:instrText>
      </w:r>
      <w:r>
        <w:rPr>
          <w:noProof/>
        </w:rPr>
        <w:fldChar w:fldCharType="separate"/>
      </w:r>
      <w:r>
        <w:rPr>
          <w:noProof/>
          <w:lang w:eastAsia="fr-FR"/>
        </w:rPr>
        <w:drawing>
          <wp:inline distT="0" distB="0" distL="0" distR="0" wp14:anchorId="6ACF83DC" wp14:editId="3602823D">
            <wp:extent cx="5057775" cy="2543175"/>
            <wp:effectExtent l="0" t="0" r="9525"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r>
        <w:rPr>
          <w:noProof/>
        </w:rPr>
        <w:fldChar w:fldCharType="end"/>
      </w:r>
    </w:p>
    <w:p w:rsidR="00355202" w:rsidRDefault="00355202" w:rsidP="00355202">
      <w:pPr>
        <w:pStyle w:val="Lgende"/>
        <w:jc w:val="center"/>
        <w:rPr>
          <w:noProof/>
        </w:rPr>
      </w:pPr>
      <w:r>
        <w:t xml:space="preserve">Figure </w:t>
      </w:r>
      <w:r w:rsidR="008F72D3">
        <w:fldChar w:fldCharType="begin"/>
      </w:r>
      <w:r w:rsidR="008F72D3">
        <w:instrText xml:space="preserve"> SEQ Figure \* ARABIC </w:instrText>
      </w:r>
      <w:r w:rsidR="008F72D3">
        <w:fldChar w:fldCharType="separate"/>
      </w:r>
      <w:r w:rsidR="00DA2B09">
        <w:rPr>
          <w:noProof/>
        </w:rPr>
        <w:t>22</w:t>
      </w:r>
      <w:r w:rsidR="008F72D3">
        <w:rPr>
          <w:noProof/>
        </w:rPr>
        <w:fldChar w:fldCharType="end"/>
      </w:r>
      <w:r>
        <w:t xml:space="preserve"> : fréquence d'attaque du mildiou sur feuilles, millésime 2015</w:t>
      </w:r>
    </w:p>
    <w:p w:rsidR="00355202" w:rsidRDefault="00355202" w:rsidP="00355202">
      <w:pPr>
        <w:jc w:val="both"/>
      </w:pPr>
      <w:r>
        <w:t xml:space="preserve">La situation phytosanitaire vis-à-vis du </w:t>
      </w:r>
      <w:r>
        <w:rPr>
          <w:b/>
        </w:rPr>
        <w:t>mildiou</w:t>
      </w:r>
      <w:r>
        <w:t xml:space="preserve"> a été saine durant toute la campagne pour les modalités réduction, plein dose et pleine dose + travaux en vert. On note une très légère phase de contamination des feuilles début juillet pour la modalité non traitée (fréquence de 9%) mais qui régresse par la suite pour aboutir à une situation très correcte en fin de campagne, situation où l’ensemble des modalités a présenté une fréquence d’attaque sur feuille inférieure à 4% et une vendange totalement saine vis-à-vis du mildiou.</w:t>
      </w:r>
    </w:p>
    <w:p w:rsidR="00355202" w:rsidRDefault="00355202" w:rsidP="00355202">
      <w:pPr>
        <w:keepNext/>
        <w:jc w:val="center"/>
      </w:pPr>
      <w:r>
        <w:fldChar w:fldCharType="begin"/>
      </w:r>
      <w:r>
        <w:instrText xml:space="preserve"> LINK Excel.Sheet.8 "" "" \a \p \* MERGEFORMAT </w:instrText>
      </w:r>
      <w:r>
        <w:fldChar w:fldCharType="separate"/>
      </w:r>
      <w:r>
        <w:rPr>
          <w:noProof/>
          <w:lang w:eastAsia="fr-FR"/>
        </w:rPr>
        <w:drawing>
          <wp:inline distT="0" distB="0" distL="0" distR="0" wp14:anchorId="14FC1E8A" wp14:editId="272C4669">
            <wp:extent cx="5057775" cy="2543175"/>
            <wp:effectExtent l="0" t="0" r="9525" b="952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r>
        <w:fldChar w:fldCharType="end"/>
      </w:r>
    </w:p>
    <w:p w:rsidR="00355202" w:rsidRDefault="00355202" w:rsidP="00355202">
      <w:pPr>
        <w:pStyle w:val="Lgende"/>
        <w:jc w:val="center"/>
      </w:pPr>
      <w:r>
        <w:t xml:space="preserve">Figure </w:t>
      </w:r>
      <w:r w:rsidR="008F72D3">
        <w:fldChar w:fldCharType="begin"/>
      </w:r>
      <w:r w:rsidR="008F72D3">
        <w:instrText xml:space="preserve"> SEQ Figure \* ARABIC </w:instrText>
      </w:r>
      <w:r w:rsidR="008F72D3">
        <w:fldChar w:fldCharType="separate"/>
      </w:r>
      <w:r w:rsidR="00DA2B09">
        <w:rPr>
          <w:noProof/>
        </w:rPr>
        <w:t>23</w:t>
      </w:r>
      <w:r w:rsidR="008F72D3">
        <w:rPr>
          <w:noProof/>
        </w:rPr>
        <w:fldChar w:fldCharType="end"/>
      </w:r>
      <w:r>
        <w:t xml:space="preserve"> : fréquence d'attaque d'oïdium sur feuilles, millésime 2015</w:t>
      </w:r>
    </w:p>
    <w:p w:rsidR="00355202" w:rsidRDefault="00355202" w:rsidP="00355202">
      <w:pPr>
        <w:jc w:val="both"/>
      </w:pPr>
      <w:r>
        <w:lastRenderedPageBreak/>
        <w:t>L’</w:t>
      </w:r>
      <w:r>
        <w:rPr>
          <w:b/>
        </w:rPr>
        <w:t>oïdium</w:t>
      </w:r>
      <w:r>
        <w:t>, très présent lors du millésime 2014, a été inexistant sur la parcelle suivie dans le cadre de Dephy expe. Quelques rares symptômes ont été observés en août sur les modalités « témoin » et « réduction » (fréquence de près de 6 %) ainsi que sur les modalités « pleine dose » et « pleine dose + travaux en vert » mais sans conséquence sur la vendange, totalement saine vis-à-vis de l’oïdium, quelle que soit la modalité envisagée.</w:t>
      </w:r>
    </w:p>
    <w:p w:rsidR="00355202" w:rsidRPr="00355202" w:rsidRDefault="00355202" w:rsidP="00355202">
      <w:pPr>
        <w:jc w:val="both"/>
      </w:pPr>
      <w:r>
        <w:t xml:space="preserve">Le </w:t>
      </w:r>
      <w:r>
        <w:rPr>
          <w:b/>
        </w:rPr>
        <w:t>black rot</w:t>
      </w:r>
      <w:r>
        <w:t xml:space="preserve"> est une fois de plus absent sur cette parcelle. La fréquence d’attaque sur feuille reste inférieure à 2.25%. Aucun symptôme sur grappes n’a été observé, quelle que soit la modalité.</w:t>
      </w:r>
    </w:p>
    <w:p w:rsidR="00355202" w:rsidRDefault="00355202" w:rsidP="00355202">
      <w:pPr>
        <w:jc w:val="both"/>
        <w:rPr>
          <w:noProof/>
        </w:rPr>
      </w:pPr>
      <w:r>
        <w:rPr>
          <w:noProof/>
        </w:rPr>
        <w:t xml:space="preserve">Au moment de la vendange, aucune attaque de </w:t>
      </w:r>
      <w:r>
        <w:rPr>
          <w:b/>
          <w:noProof/>
        </w:rPr>
        <w:t>botrytis</w:t>
      </w:r>
      <w:r>
        <w:rPr>
          <w:noProof/>
        </w:rPr>
        <w:t xml:space="preserve"> ou de </w:t>
      </w:r>
      <w:r>
        <w:rPr>
          <w:b/>
          <w:noProof/>
        </w:rPr>
        <w:t>pourriture acide</w:t>
      </w:r>
      <w:r>
        <w:rPr>
          <w:noProof/>
        </w:rPr>
        <w:t xml:space="preserve"> n’a été relevée, quelle que soit la modalité.</w:t>
      </w:r>
    </w:p>
    <w:p w:rsidR="00355202" w:rsidRDefault="00355202" w:rsidP="00355202">
      <w:pPr>
        <w:jc w:val="both"/>
      </w:pPr>
      <w:r>
        <w:t>En ce qui concerne l’ensemble des maladies cryptogamiques, aucune différence n’est à relever entre les différentes modalités sur la parcelle « Dephy » pour le millésime 2015. Malgré des contaminations notables en 2014 (mildiou et oïdium sur les modalités témoin et réduction de dose) qui laissaient envisager un inoculum primaire important et des premières contaminations plus conséquentes sur ces modalités, la vendange est saine sur toute de la période d’observation pour l’ensemble de la parcelle.</w:t>
      </w:r>
    </w:p>
    <w:p w:rsidR="00355202" w:rsidRPr="00355202" w:rsidRDefault="00355202" w:rsidP="00355202">
      <w:pPr>
        <w:jc w:val="center"/>
        <w:rPr>
          <w:b/>
        </w:rPr>
      </w:pPr>
      <w:r w:rsidRPr="00355202">
        <w:rPr>
          <w:b/>
        </w:rPr>
        <w:t>Ravageurs</w:t>
      </w:r>
    </w:p>
    <w:p w:rsidR="00355202" w:rsidRDefault="00355202" w:rsidP="00355202">
      <w:pPr>
        <w:jc w:val="both"/>
      </w:pPr>
      <w:r>
        <w:t>Les résultats de notations des ravageurs sont présentés pour mémoire : la modalité « témoin non traité » est tout de même soumise aux traitements de lutte obligatoire contre la cicadelle de la flavescence dorée (3 traitements obligatoires pour cet organisme réglementé) et les traitements insecticides sont strictement identiques entre la modalité « réduction » et les 2 modalités « pleine dose » (3 traitements cicadelle de la flavescence dorée et un traitement tordeuse en plus). Ainsi, la notation des ravageurs ne peut être considérée comme un indicateu</w:t>
      </w:r>
      <w:r w:rsidR="002B34C6">
        <w:t>r agronomique dans le cadre de Déphy expé</w:t>
      </w:r>
      <w:r>
        <w:t>, qui plus est sans pression phytosanitaire.</w:t>
      </w:r>
    </w:p>
    <w:p w:rsidR="00355202" w:rsidRDefault="00355202" w:rsidP="00355202">
      <w:pPr>
        <w:jc w:val="both"/>
      </w:pPr>
    </w:p>
    <w:p w:rsidR="00355202" w:rsidRDefault="00355202" w:rsidP="00355202">
      <w:pPr>
        <w:keepNext/>
        <w:jc w:val="center"/>
      </w:pPr>
      <w:r>
        <w:fldChar w:fldCharType="begin"/>
      </w:r>
      <w:r>
        <w:instrText xml:space="preserve"> LINK Excel.Sheet.8 "" "" \a \p \* MERGEFORMAT </w:instrText>
      </w:r>
      <w:r>
        <w:fldChar w:fldCharType="separate"/>
      </w:r>
      <w:r>
        <w:rPr>
          <w:noProof/>
          <w:lang w:eastAsia="fr-FR"/>
        </w:rPr>
        <w:drawing>
          <wp:inline distT="0" distB="0" distL="0" distR="0" wp14:anchorId="562B369D" wp14:editId="52DB1727">
            <wp:extent cx="5057775" cy="2543175"/>
            <wp:effectExtent l="0" t="0" r="952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r>
        <w:fldChar w:fldCharType="end"/>
      </w:r>
    </w:p>
    <w:p w:rsidR="00355202" w:rsidRDefault="00355202" w:rsidP="00355202">
      <w:pPr>
        <w:pStyle w:val="Lgende"/>
        <w:jc w:val="center"/>
      </w:pPr>
      <w:r>
        <w:t xml:space="preserve">Figure </w:t>
      </w:r>
      <w:r w:rsidR="008F72D3">
        <w:fldChar w:fldCharType="begin"/>
      </w:r>
      <w:r w:rsidR="008F72D3">
        <w:instrText xml:space="preserve"> SEQ Figure \* ARABIC </w:instrText>
      </w:r>
      <w:r w:rsidR="008F72D3">
        <w:fldChar w:fldCharType="separate"/>
      </w:r>
      <w:r w:rsidR="00DA2B09">
        <w:rPr>
          <w:noProof/>
        </w:rPr>
        <w:t>24</w:t>
      </w:r>
      <w:r w:rsidR="008F72D3">
        <w:rPr>
          <w:noProof/>
        </w:rPr>
        <w:fldChar w:fldCharType="end"/>
      </w:r>
      <w:r>
        <w:t xml:space="preserve"> : fréquence de présence de tordeuses de la grappe</w:t>
      </w:r>
    </w:p>
    <w:p w:rsidR="00355202" w:rsidRDefault="00355202" w:rsidP="00355202">
      <w:pPr>
        <w:jc w:val="both"/>
      </w:pPr>
      <w:r>
        <w:t>La présence de tordeuse sur la parcelle expérimentale, bien que supérieure aux millésimes précédents, est assez faible tout au long de la campagne. Le maximum est atteint pour la modalité « réduction » avec une fréquence de 5% des grappes attaquées début juin mais à une très faible intensité.</w:t>
      </w:r>
    </w:p>
    <w:p w:rsidR="00355202" w:rsidRDefault="00355202" w:rsidP="00355202">
      <w:pPr>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26"/>
        <w:gridCol w:w="4656"/>
      </w:tblGrid>
      <w:tr w:rsidR="00355202" w:rsidTr="00355202">
        <w:tc>
          <w:tcPr>
            <w:tcW w:w="4604" w:type="dxa"/>
            <w:tcBorders>
              <w:top w:val="single" w:sz="4" w:space="0" w:color="FFFFFF"/>
              <w:left w:val="single" w:sz="4" w:space="0" w:color="FFFFFF"/>
              <w:bottom w:val="single" w:sz="4" w:space="0" w:color="FFFFFF"/>
              <w:right w:val="single" w:sz="4" w:space="0" w:color="FFFFFF"/>
            </w:tcBorders>
            <w:hideMark/>
          </w:tcPr>
          <w:p w:rsidR="007D779F" w:rsidRDefault="00355202" w:rsidP="007D779F">
            <w:pPr>
              <w:keepNext/>
              <w:jc w:val="center"/>
            </w:pPr>
            <w:r>
              <w:lastRenderedPageBreak/>
              <w:fldChar w:fldCharType="begin"/>
            </w:r>
            <w:r>
              <w:instrText xml:space="preserve"> LINK Excel.Sheet.8 "" "" \a \p \* MERGEFORMAT </w:instrText>
            </w:r>
            <w:r>
              <w:fldChar w:fldCharType="separate"/>
            </w:r>
            <w:r>
              <w:rPr>
                <w:noProof/>
                <w:lang w:eastAsia="fr-FR"/>
              </w:rPr>
              <w:drawing>
                <wp:inline distT="0" distB="0" distL="0" distR="0" wp14:anchorId="00D32955" wp14:editId="3FE545C5">
                  <wp:extent cx="2790825" cy="1819275"/>
                  <wp:effectExtent l="0" t="0" r="9525" b="952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1819275"/>
                          </a:xfrm>
                          <a:prstGeom prst="rect">
                            <a:avLst/>
                          </a:prstGeom>
                          <a:noFill/>
                          <a:ln>
                            <a:noFill/>
                          </a:ln>
                        </pic:spPr>
                      </pic:pic>
                    </a:graphicData>
                  </a:graphic>
                </wp:inline>
              </w:drawing>
            </w:r>
            <w:r>
              <w:fldChar w:fldCharType="end"/>
            </w:r>
          </w:p>
          <w:p w:rsidR="00355202" w:rsidRDefault="007D779F" w:rsidP="007D779F">
            <w:pPr>
              <w:pStyle w:val="Lgende"/>
              <w:jc w:val="center"/>
              <w:rPr>
                <w:rFonts w:ascii="Arial" w:hAnsi="Arial" w:cs="Arial"/>
                <w:sz w:val="24"/>
                <w:szCs w:val="24"/>
                <w:lang w:eastAsia="ar-SA"/>
              </w:rPr>
            </w:pPr>
            <w:r>
              <w:t xml:space="preserve">Figure </w:t>
            </w:r>
            <w:r w:rsidR="008F72D3">
              <w:fldChar w:fldCharType="begin"/>
            </w:r>
            <w:r w:rsidR="008F72D3">
              <w:instrText xml:space="preserve"> SEQ Figure \* ARABIC </w:instrText>
            </w:r>
            <w:r w:rsidR="008F72D3">
              <w:fldChar w:fldCharType="separate"/>
            </w:r>
            <w:r w:rsidR="00DA2B09">
              <w:rPr>
                <w:noProof/>
              </w:rPr>
              <w:t>25</w:t>
            </w:r>
            <w:r w:rsidR="008F72D3">
              <w:rPr>
                <w:noProof/>
              </w:rPr>
              <w:fldChar w:fldCharType="end"/>
            </w:r>
            <w:r>
              <w:t xml:space="preserve"> : fréquence de présence de Metcalfa pruinosa sur feuilles et grappes</w:t>
            </w:r>
          </w:p>
        </w:tc>
        <w:tc>
          <w:tcPr>
            <w:tcW w:w="4605" w:type="dxa"/>
            <w:tcBorders>
              <w:top w:val="single" w:sz="4" w:space="0" w:color="FFFFFF"/>
              <w:left w:val="single" w:sz="4" w:space="0" w:color="FFFFFF"/>
              <w:bottom w:val="single" w:sz="4" w:space="0" w:color="FFFFFF"/>
              <w:right w:val="single" w:sz="4" w:space="0" w:color="FFFFFF"/>
            </w:tcBorders>
            <w:hideMark/>
          </w:tcPr>
          <w:p w:rsidR="00355202" w:rsidRDefault="00355202">
            <w:pPr>
              <w:jc w:val="center"/>
              <w:rPr>
                <w:rFonts w:ascii="Arial" w:hAnsi="Arial"/>
                <w:sz w:val="24"/>
              </w:rPr>
            </w:pPr>
            <w:r>
              <w:rPr>
                <w:noProof/>
              </w:rPr>
              <w:fldChar w:fldCharType="begin"/>
            </w:r>
            <w:r>
              <w:rPr>
                <w:noProof/>
              </w:rPr>
              <w:instrText xml:space="preserve"> LINK Excel.Sheet.8 "" "" \a \p </w:instrText>
            </w:r>
            <w:r>
              <w:rPr>
                <w:noProof/>
              </w:rPr>
              <w:fldChar w:fldCharType="separate"/>
            </w:r>
            <w:r>
              <w:rPr>
                <w:noProof/>
                <w:lang w:eastAsia="fr-FR"/>
              </w:rPr>
              <w:drawing>
                <wp:inline distT="0" distB="0" distL="0" distR="0">
                  <wp:extent cx="2819400" cy="183832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1838325"/>
                          </a:xfrm>
                          <a:prstGeom prst="rect">
                            <a:avLst/>
                          </a:prstGeom>
                          <a:noFill/>
                          <a:ln>
                            <a:noFill/>
                          </a:ln>
                        </pic:spPr>
                      </pic:pic>
                    </a:graphicData>
                  </a:graphic>
                </wp:inline>
              </w:drawing>
            </w:r>
            <w:r>
              <w:rPr>
                <w:noProof/>
              </w:rPr>
              <w:fldChar w:fldCharType="end"/>
            </w:r>
          </w:p>
        </w:tc>
      </w:tr>
    </w:tbl>
    <w:p w:rsidR="00355202" w:rsidRDefault="00355202" w:rsidP="00355202">
      <w:pPr>
        <w:jc w:val="both"/>
      </w:pPr>
    </w:p>
    <w:p w:rsidR="00355202" w:rsidRDefault="00355202" w:rsidP="00355202">
      <w:pPr>
        <w:jc w:val="both"/>
      </w:pPr>
      <w:r>
        <w:t>Tout au long de la campagne, la présence de Metcalfa, sur feuilles comme sur grappes, reste anecdotique, quelle que soit la modalité.</w:t>
      </w:r>
    </w:p>
    <w:p w:rsidR="00355202" w:rsidRDefault="00355202" w:rsidP="00355202">
      <w:pPr>
        <w:jc w:val="both"/>
      </w:pPr>
    </w:p>
    <w:p w:rsidR="007D779F" w:rsidRDefault="00355202" w:rsidP="007D779F">
      <w:pPr>
        <w:keepNext/>
        <w:jc w:val="center"/>
      </w:pPr>
      <w:r>
        <w:rPr>
          <w:noProof/>
        </w:rPr>
        <w:fldChar w:fldCharType="begin"/>
      </w:r>
      <w:r>
        <w:rPr>
          <w:noProof/>
        </w:rPr>
        <w:instrText xml:space="preserve"> LINK Excel.Sheet.8 "" "" \a \p \* MERGEFORMAT </w:instrText>
      </w:r>
      <w:r>
        <w:rPr>
          <w:noProof/>
        </w:rPr>
        <w:fldChar w:fldCharType="separate"/>
      </w:r>
      <w:r>
        <w:rPr>
          <w:noProof/>
          <w:lang w:eastAsia="fr-FR"/>
        </w:rPr>
        <w:drawing>
          <wp:inline distT="0" distB="0" distL="0" distR="0" wp14:anchorId="2280BD2A" wp14:editId="3FE5C914">
            <wp:extent cx="5057775" cy="2543175"/>
            <wp:effectExtent l="0" t="0" r="9525" b="952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r>
        <w:rPr>
          <w:noProof/>
        </w:rPr>
        <w:fldChar w:fldCharType="end"/>
      </w:r>
    </w:p>
    <w:p w:rsidR="00355202" w:rsidRDefault="007D779F" w:rsidP="007D779F">
      <w:pPr>
        <w:pStyle w:val="Lgende"/>
        <w:jc w:val="center"/>
        <w:rPr>
          <w:noProof/>
        </w:rPr>
      </w:pPr>
      <w:r>
        <w:t xml:space="preserve">Figure </w:t>
      </w:r>
      <w:r w:rsidR="008F72D3">
        <w:fldChar w:fldCharType="begin"/>
      </w:r>
      <w:r w:rsidR="008F72D3">
        <w:instrText xml:space="preserve"> SEQ Figure \* ARABIC </w:instrText>
      </w:r>
      <w:r w:rsidR="008F72D3">
        <w:fldChar w:fldCharType="separate"/>
      </w:r>
      <w:r w:rsidR="00DA2B09">
        <w:rPr>
          <w:noProof/>
        </w:rPr>
        <w:t>26</w:t>
      </w:r>
      <w:r w:rsidR="008F72D3">
        <w:rPr>
          <w:noProof/>
        </w:rPr>
        <w:fldChar w:fldCharType="end"/>
      </w:r>
      <w:r>
        <w:t xml:space="preserve"> : fréquence des cicadelles sur feuilles</w:t>
      </w:r>
    </w:p>
    <w:p w:rsidR="00355202" w:rsidRDefault="00355202" w:rsidP="00355202">
      <w:pPr>
        <w:jc w:val="both"/>
      </w:pPr>
      <w:r>
        <w:t>Le nombre de cicadelles vertes présentes sur la parcelle expérimentale est très faible, tant en fréquence comme représenté sur le graphique ci-dessus qu’en intensité (2 insectes maximum par feuille).</w:t>
      </w:r>
    </w:p>
    <w:p w:rsidR="00355202" w:rsidRDefault="00355202" w:rsidP="00355202">
      <w:pPr>
        <w:jc w:val="both"/>
      </w:pPr>
      <w:r>
        <w:t xml:space="preserve">Le niveau d’attaque est non dommageable : aucun symptôme de grillures n’est observé. </w:t>
      </w:r>
    </w:p>
    <w:p w:rsidR="00827897" w:rsidRDefault="00827897" w:rsidP="007D779F"/>
    <w:p w:rsidR="007D779F" w:rsidRPr="007D779F" w:rsidRDefault="007D779F" w:rsidP="007D779F">
      <w:pPr>
        <w:rPr>
          <w:b/>
          <w:lang w:eastAsia="en-US"/>
        </w:rPr>
      </w:pPr>
      <w:r w:rsidRPr="007D779F">
        <w:rPr>
          <w:b/>
        </w:rPr>
        <w:t xml:space="preserve">Les </w:t>
      </w:r>
      <w:r>
        <w:rPr>
          <w:b/>
        </w:rPr>
        <w:t>indicateurs environnementaux</w:t>
      </w:r>
    </w:p>
    <w:p w:rsidR="00355202" w:rsidRDefault="00355202" w:rsidP="00355202">
      <w:pPr>
        <w:jc w:val="both"/>
      </w:pPr>
      <w:r>
        <w:t xml:space="preserve">Il est reconnu que les phytoséides sont un très bon indicateur environnemental. Ainsi, des prélèvements de feuilles ont été réalisés une fois par mois, à partir de juin jusqu’en août. 25 feuilles ont été prélevées par modalité. L’identification des acariens prédateurs d’acariens phytophages (Phytoséides) a été réalisée à Montpellier Supagro. </w:t>
      </w:r>
    </w:p>
    <w:p w:rsidR="00355202" w:rsidRDefault="00355202" w:rsidP="00355202">
      <w:pPr>
        <w:jc w:val="both"/>
      </w:pPr>
      <w:r>
        <w:t xml:space="preserve">A une exception près (un individu de l’espèce </w:t>
      </w:r>
      <w:r>
        <w:rPr>
          <w:i/>
        </w:rPr>
        <w:t>Typhloseiulus eleonorae</w:t>
      </w:r>
      <w:r>
        <w:t xml:space="preserve">), la seule espèce d’acarien identifiée dans toutes les modalités est </w:t>
      </w:r>
      <w:r>
        <w:rPr>
          <w:i/>
        </w:rPr>
        <w:t>Phytoseius finitimus</w:t>
      </w:r>
      <w:r>
        <w:t>. Cet acarien est majoritairement rencontré dans les populations d’acariens prédateurs en vigne en Corse.</w:t>
      </w:r>
    </w:p>
    <w:p w:rsidR="00355202" w:rsidRDefault="00355202" w:rsidP="00355202"/>
    <w:p w:rsidR="00355202" w:rsidRDefault="00355202" w:rsidP="005F0065">
      <w:pPr>
        <w:rPr>
          <w:highlight w:val="yellow"/>
        </w:rPr>
      </w:pPr>
    </w:p>
    <w:p w:rsidR="005F0065" w:rsidRDefault="005F0065" w:rsidP="005F0065">
      <w:pPr>
        <w:pStyle w:val="Lgende"/>
        <w:keepNext/>
        <w:jc w:val="center"/>
      </w:pPr>
      <w:r>
        <w:lastRenderedPageBreak/>
        <w:t xml:space="preserve">Tableau </w:t>
      </w:r>
      <w:r w:rsidR="008F72D3">
        <w:fldChar w:fldCharType="begin"/>
      </w:r>
      <w:r w:rsidR="008F72D3">
        <w:instrText xml:space="preserve"> SEQ Tableau \* ARABIC </w:instrText>
      </w:r>
      <w:r w:rsidR="008F72D3">
        <w:fldChar w:fldCharType="separate"/>
      </w:r>
      <w:r w:rsidR="00DA2B09">
        <w:rPr>
          <w:noProof/>
        </w:rPr>
        <w:t>32</w:t>
      </w:r>
      <w:r w:rsidR="008F72D3">
        <w:rPr>
          <w:noProof/>
        </w:rPr>
        <w:fldChar w:fldCharType="end"/>
      </w:r>
      <w:r>
        <w:t xml:space="preserve"> : nombre d'acariens </w:t>
      </w:r>
      <w:r w:rsidRPr="003375D7">
        <w:rPr>
          <w:i/>
        </w:rPr>
        <w:t>P.</w:t>
      </w:r>
      <w:r w:rsidR="003375D7" w:rsidRPr="003375D7">
        <w:rPr>
          <w:i/>
        </w:rPr>
        <w:t xml:space="preserve"> </w:t>
      </w:r>
      <w:r w:rsidRPr="003375D7">
        <w:rPr>
          <w:i/>
        </w:rPr>
        <w:t>finitimus</w:t>
      </w:r>
      <w:r>
        <w:t xml:space="preserve"> (comptage réalisé sur 25 feuilles par modalité)</w:t>
      </w:r>
    </w:p>
    <w:p w:rsidR="00355202" w:rsidRDefault="00355202" w:rsidP="00355202">
      <w:pPr>
        <w:jc w:val="center"/>
      </w:pPr>
      <w:r>
        <w:fldChar w:fldCharType="begin"/>
      </w:r>
      <w:r>
        <w:instrText xml:space="preserve"> LINK Excel.Sheet.12 "" "" \a \p </w:instrText>
      </w:r>
      <w:r>
        <w:fldChar w:fldCharType="separate"/>
      </w:r>
      <w:r>
        <w:rPr>
          <w:noProof/>
          <w:lang w:eastAsia="fr-FR"/>
        </w:rPr>
        <w:drawing>
          <wp:inline distT="0" distB="0" distL="0" distR="0" wp14:anchorId="379D64E6" wp14:editId="2C348BD8">
            <wp:extent cx="4114800" cy="11334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1133475"/>
                    </a:xfrm>
                    <a:prstGeom prst="rect">
                      <a:avLst/>
                    </a:prstGeom>
                    <a:noFill/>
                    <a:ln>
                      <a:noFill/>
                    </a:ln>
                  </pic:spPr>
                </pic:pic>
              </a:graphicData>
            </a:graphic>
          </wp:inline>
        </w:drawing>
      </w:r>
      <w:r>
        <w:fldChar w:fldCharType="end"/>
      </w:r>
    </w:p>
    <w:p w:rsidR="00355202" w:rsidRDefault="00355202" w:rsidP="00355202">
      <w:pPr>
        <w:jc w:val="center"/>
      </w:pPr>
    </w:p>
    <w:p w:rsidR="00355202" w:rsidRDefault="00355202" w:rsidP="00355202">
      <w:pPr>
        <w:jc w:val="center"/>
      </w:pPr>
    </w:p>
    <w:p w:rsidR="00DA2B09" w:rsidRDefault="00355202" w:rsidP="00DA2B09">
      <w:pPr>
        <w:keepNext/>
        <w:jc w:val="center"/>
      </w:pPr>
      <w:r>
        <w:fldChar w:fldCharType="begin"/>
      </w:r>
      <w:r>
        <w:instrText xml:space="preserve"> LINK Excel.Sheet.8 "" "" \a \p </w:instrText>
      </w:r>
      <w:r>
        <w:fldChar w:fldCharType="separate"/>
      </w:r>
      <w:r>
        <w:rPr>
          <w:noProof/>
          <w:lang w:eastAsia="fr-FR"/>
        </w:rPr>
        <w:drawing>
          <wp:inline distT="0" distB="0" distL="0" distR="0" wp14:anchorId="0D467DED" wp14:editId="6459A1D8">
            <wp:extent cx="5057775" cy="25431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r>
        <w:fldChar w:fldCharType="end"/>
      </w:r>
    </w:p>
    <w:p w:rsidR="00355202" w:rsidRDefault="00DA2B09" w:rsidP="00DA2B09">
      <w:pPr>
        <w:pStyle w:val="Lgende"/>
        <w:jc w:val="center"/>
      </w:pPr>
      <w:r>
        <w:t xml:space="preserve">Figure </w:t>
      </w:r>
      <w:r w:rsidR="008F72D3">
        <w:fldChar w:fldCharType="begin"/>
      </w:r>
      <w:r w:rsidR="008F72D3">
        <w:instrText xml:space="preserve"> SEQ Figure \* ARABIC </w:instrText>
      </w:r>
      <w:r w:rsidR="008F72D3">
        <w:fldChar w:fldCharType="separate"/>
      </w:r>
      <w:r>
        <w:rPr>
          <w:noProof/>
        </w:rPr>
        <w:t>27</w:t>
      </w:r>
      <w:r w:rsidR="008F72D3">
        <w:rPr>
          <w:noProof/>
        </w:rPr>
        <w:fldChar w:fldCharType="end"/>
      </w:r>
      <w:r>
        <w:t xml:space="preserve"> : répartition du nombre total d'acariens identifié par modalité</w:t>
      </w:r>
    </w:p>
    <w:p w:rsidR="00355202" w:rsidRDefault="00355202" w:rsidP="00355202"/>
    <w:p w:rsidR="00355202" w:rsidRDefault="00355202" w:rsidP="00355202">
      <w:pPr>
        <w:jc w:val="both"/>
      </w:pPr>
      <w:r>
        <w:t>La modalité « témoin » présente le plus fort taux de population d’acariens. Les nombres d’acariens dans les trois autres modalités sont sensiblement identiques. Le niveau de population d’acariens prédateurs semble impacté par l’absence ou la présence d’intrants phytosanitaires. Cependant, la seule réduction d’intrants phytosanitaires ne semble pas impacter le niveau de population d’acariens, par rapport à une modalité « pleine dose ».</w:t>
      </w:r>
    </w:p>
    <w:p w:rsidR="00355202" w:rsidRDefault="00355202" w:rsidP="00355202">
      <w:pPr>
        <w:rPr>
          <w:b/>
        </w:rPr>
      </w:pPr>
      <w:r w:rsidRPr="00DA2B09">
        <w:rPr>
          <w:b/>
        </w:rPr>
        <w:t>Résult</w:t>
      </w:r>
      <w:r w:rsidR="00DA2B09" w:rsidRPr="00DA2B09">
        <w:rPr>
          <w:b/>
        </w:rPr>
        <w:t>ats des contrôles de maturité </w:t>
      </w:r>
    </w:p>
    <w:p w:rsidR="00DA2B09" w:rsidRPr="00DA2B09" w:rsidRDefault="00DA2B09" w:rsidP="00355202">
      <w:pPr>
        <w:rPr>
          <w:b/>
        </w:rPr>
      </w:pPr>
    </w:p>
    <w:p w:rsidR="00355202" w:rsidRDefault="00355202" w:rsidP="00DA2B09">
      <w:pPr>
        <w:jc w:val="both"/>
      </w:pPr>
      <w:r>
        <w:t xml:space="preserve">Des contrôles de maturité ont  été réalisés le 4 septembre 2015. </w:t>
      </w:r>
    </w:p>
    <w:p w:rsidR="00DA2B09" w:rsidRDefault="00DA2B09" w:rsidP="00DA2B09">
      <w:pPr>
        <w:pStyle w:val="Lgende"/>
        <w:keepNext/>
        <w:jc w:val="center"/>
      </w:pPr>
      <w:r>
        <w:t xml:space="preserve">Tableau </w:t>
      </w:r>
      <w:r w:rsidR="008F72D3">
        <w:fldChar w:fldCharType="begin"/>
      </w:r>
      <w:r w:rsidR="008F72D3">
        <w:instrText xml:space="preserve"> SEQ Tableau \* ARABIC </w:instrText>
      </w:r>
      <w:r w:rsidR="008F72D3">
        <w:fldChar w:fldCharType="separate"/>
      </w:r>
      <w:r>
        <w:rPr>
          <w:noProof/>
        </w:rPr>
        <w:t>33</w:t>
      </w:r>
      <w:r w:rsidR="008F72D3">
        <w:rPr>
          <w:noProof/>
        </w:rPr>
        <w:fldChar w:fldCharType="end"/>
      </w:r>
      <w:r>
        <w:t xml:space="preserve"> : contrôles de maturité</w:t>
      </w:r>
    </w:p>
    <w:p w:rsidR="00355202" w:rsidRDefault="00355202" w:rsidP="00355202">
      <w:pPr>
        <w:jc w:val="center"/>
      </w:pPr>
      <w:r>
        <w:fldChar w:fldCharType="begin"/>
      </w:r>
      <w:r>
        <w:instrText xml:space="preserve"> LINK Excel.Sheet.8 "" "" \a \p \* MERGEFORMAT </w:instrText>
      </w:r>
      <w:r>
        <w:fldChar w:fldCharType="separate"/>
      </w:r>
      <w:r>
        <w:rPr>
          <w:noProof/>
          <w:lang w:eastAsia="fr-FR"/>
        </w:rPr>
        <w:drawing>
          <wp:inline distT="0" distB="0" distL="0" distR="0">
            <wp:extent cx="4448175" cy="17430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8175" cy="1743075"/>
                    </a:xfrm>
                    <a:prstGeom prst="rect">
                      <a:avLst/>
                    </a:prstGeom>
                    <a:noFill/>
                    <a:ln>
                      <a:noFill/>
                    </a:ln>
                  </pic:spPr>
                </pic:pic>
              </a:graphicData>
            </a:graphic>
          </wp:inline>
        </w:drawing>
      </w:r>
      <w:r>
        <w:fldChar w:fldCharType="end"/>
      </w:r>
    </w:p>
    <w:p w:rsidR="00355202" w:rsidRDefault="00355202" w:rsidP="00355202">
      <w:pPr>
        <w:jc w:val="both"/>
      </w:pPr>
    </w:p>
    <w:p w:rsidR="00355202" w:rsidRDefault="00355202" w:rsidP="00355202">
      <w:pPr>
        <w:jc w:val="both"/>
      </w:pPr>
      <w:r>
        <w:t>L’ensemble de la vendange était totalement saine sur toutes les modalités.</w:t>
      </w:r>
    </w:p>
    <w:p w:rsidR="00355202" w:rsidRDefault="00355202" w:rsidP="00355202">
      <w:pPr>
        <w:jc w:val="both"/>
      </w:pPr>
    </w:p>
    <w:p w:rsidR="00355202" w:rsidRDefault="00355202" w:rsidP="00355202">
      <w:pPr>
        <w:jc w:val="both"/>
      </w:pPr>
      <w:r>
        <w:t>Les baies issues des modalités « réduction », « pleine dose » et « pleine dose + travaux en vert » présentent des résultats similaires pour l’ensemble des paramètres mesurés. Les raisins issus de la modalité « témoin » ont des caractéristiques de maturité en-deçà des autres modalités pour le TAP et le poids de 100 baies, différences qui ne sauraient être imputées à un état phytosanitaire différent mais plutôt à l’hétérogénéité de la parcelle (et notamment des problèmes e vigueur), phénomène déjà observé lors des millésimes 2012 et 2013.</w:t>
      </w:r>
    </w:p>
    <w:p w:rsidR="00DA2B09" w:rsidRDefault="00355202" w:rsidP="00DA2B09">
      <w:pPr>
        <w:jc w:val="both"/>
        <w:rPr>
          <w:i/>
        </w:rPr>
      </w:pPr>
      <w:r>
        <w:rPr>
          <w:i/>
        </w:rPr>
        <w:t>Rappelons que les contrôles de maturité servent d’indicateurs de la qualité de la vendange : en cas de fortes attaques de maladies, on peut observer des différences dans les paramètres mesurés (par exemple, attaque d’oïdium augmentant le degré alcoolique, attaque de botrytis d</w:t>
      </w:r>
      <w:r w:rsidR="00DA2B09">
        <w:rPr>
          <w:i/>
        </w:rPr>
        <w:t>iminuant l’azote assimilable…).</w:t>
      </w:r>
    </w:p>
    <w:p w:rsidR="00355202" w:rsidRPr="00DA2B09" w:rsidRDefault="00DA2B09" w:rsidP="00DA2B09">
      <w:pPr>
        <w:jc w:val="both"/>
        <w:rPr>
          <w:b/>
          <w:i/>
        </w:rPr>
      </w:pPr>
      <w:r w:rsidRPr="00DA2B09">
        <w:rPr>
          <w:b/>
        </w:rPr>
        <w:t>Comparaison des coûts </w:t>
      </w:r>
    </w:p>
    <w:p w:rsidR="00355202" w:rsidRDefault="00355202" w:rsidP="00355202">
      <w:r>
        <w:t>Le tableau ci-dessous détaille les coûts de main d’œuvre et d’intrants liés à chaque modalité :</w:t>
      </w:r>
    </w:p>
    <w:p w:rsidR="00DA2B09" w:rsidRDefault="00DA2B09" w:rsidP="00355202"/>
    <w:p w:rsidR="00DA2B09" w:rsidRDefault="00DA2B09" w:rsidP="00DA2B09">
      <w:pPr>
        <w:pStyle w:val="Lgende"/>
        <w:keepNext/>
        <w:jc w:val="center"/>
      </w:pPr>
      <w:r>
        <w:t xml:space="preserve">Tableau </w:t>
      </w:r>
      <w:r w:rsidR="008F72D3">
        <w:fldChar w:fldCharType="begin"/>
      </w:r>
      <w:r w:rsidR="008F72D3">
        <w:instrText xml:space="preserve"> SEQ Tableau \* ARABIC </w:instrText>
      </w:r>
      <w:r w:rsidR="008F72D3">
        <w:fldChar w:fldCharType="separate"/>
      </w:r>
      <w:r>
        <w:rPr>
          <w:noProof/>
        </w:rPr>
        <w:t>34</w:t>
      </w:r>
      <w:r w:rsidR="008F72D3">
        <w:rPr>
          <w:noProof/>
        </w:rPr>
        <w:fldChar w:fldCharType="end"/>
      </w:r>
      <w:r>
        <w:t xml:space="preserve"> : comparaison des coûts par hectare entre modalités</w:t>
      </w:r>
    </w:p>
    <w:p w:rsidR="00355202" w:rsidRDefault="00355202" w:rsidP="00355202">
      <w:pPr>
        <w:tabs>
          <w:tab w:val="left" w:pos="3375"/>
        </w:tabs>
        <w:jc w:val="center"/>
        <w:rPr>
          <w:highlight w:val="yellow"/>
        </w:rPr>
      </w:pPr>
      <w:r>
        <w:fldChar w:fldCharType="begin"/>
      </w:r>
      <w:r>
        <w:instrText xml:space="preserve"> LINK Excel.Sheet.8 "" "" \a \p \* MERGEFORMAT </w:instrText>
      </w:r>
      <w:r>
        <w:fldChar w:fldCharType="separate"/>
      </w:r>
      <w:r>
        <w:rPr>
          <w:noProof/>
          <w:lang w:eastAsia="fr-FR"/>
        </w:rPr>
        <w:drawing>
          <wp:inline distT="0" distB="0" distL="0" distR="0">
            <wp:extent cx="5029200" cy="42957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4295775"/>
                    </a:xfrm>
                    <a:prstGeom prst="rect">
                      <a:avLst/>
                    </a:prstGeom>
                    <a:noFill/>
                    <a:ln>
                      <a:noFill/>
                    </a:ln>
                  </pic:spPr>
                </pic:pic>
              </a:graphicData>
            </a:graphic>
          </wp:inline>
        </w:drawing>
      </w:r>
      <w:r>
        <w:fldChar w:fldCharType="end"/>
      </w:r>
    </w:p>
    <w:p w:rsidR="00355202" w:rsidRDefault="00355202" w:rsidP="00355202">
      <w:pPr>
        <w:tabs>
          <w:tab w:val="left" w:pos="3375"/>
        </w:tabs>
        <w:jc w:val="both"/>
        <w:rPr>
          <w:sz w:val="20"/>
        </w:rPr>
      </w:pPr>
      <w:r>
        <w:rPr>
          <w:sz w:val="20"/>
        </w:rPr>
        <w:t>*sur la base du taux horaire Smic 2014</w:t>
      </w:r>
    </w:p>
    <w:p w:rsidR="00355202" w:rsidRDefault="00355202" w:rsidP="00355202">
      <w:pPr>
        <w:tabs>
          <w:tab w:val="left" w:pos="3375"/>
        </w:tabs>
        <w:jc w:val="both"/>
        <w:rPr>
          <w:sz w:val="20"/>
        </w:rPr>
      </w:pPr>
    </w:p>
    <w:p w:rsidR="00355202" w:rsidRDefault="00355202" w:rsidP="00355202">
      <w:pPr>
        <w:tabs>
          <w:tab w:val="left" w:pos="3375"/>
        </w:tabs>
        <w:jc w:val="both"/>
        <w:rPr>
          <w:sz w:val="20"/>
        </w:rPr>
      </w:pPr>
      <w:r>
        <w:rPr>
          <w:sz w:val="20"/>
        </w:rPr>
        <w:t xml:space="preserve">** référence 10h/ha pour 1 passage « cepviti ; Co-conception de systèmes viticoles économes en produits phytosanitaires », fiche technique n°1. </w:t>
      </w:r>
    </w:p>
    <w:p w:rsidR="00355202" w:rsidRDefault="00355202" w:rsidP="00355202">
      <w:pPr>
        <w:tabs>
          <w:tab w:val="left" w:pos="3375"/>
        </w:tabs>
        <w:jc w:val="both"/>
        <w:rPr>
          <w:sz w:val="20"/>
        </w:rPr>
      </w:pPr>
      <w:r>
        <w:rPr>
          <w:sz w:val="20"/>
        </w:rPr>
        <w:t>Agriculture.gouv.fr/IMG/pdf/GUIDE-TECHNIQUES-211111.pdf</w:t>
      </w:r>
    </w:p>
    <w:p w:rsidR="00355202" w:rsidRDefault="00355202" w:rsidP="00355202">
      <w:pPr>
        <w:tabs>
          <w:tab w:val="left" w:pos="3375"/>
        </w:tabs>
        <w:jc w:val="both"/>
        <w:rPr>
          <w:sz w:val="24"/>
        </w:rPr>
      </w:pPr>
      <w:r>
        <w:t xml:space="preserve">Pour le millésime 2015, la diminution de l’emploi des produits phytosanitaires a engendré une baisse du coût à l’hectare de l’ordre de 23%, due aux coûts des produits phytosanitaires (diminution de 47 % du coût « fongicide »). </w:t>
      </w:r>
    </w:p>
    <w:p w:rsidR="00355202" w:rsidRDefault="00355202" w:rsidP="00355202">
      <w:pPr>
        <w:tabs>
          <w:tab w:val="left" w:pos="3375"/>
        </w:tabs>
        <w:jc w:val="both"/>
      </w:pPr>
    </w:p>
    <w:p w:rsidR="00355202" w:rsidRPr="00DA2B09" w:rsidRDefault="00355202" w:rsidP="00DA2B09">
      <w:pPr>
        <w:tabs>
          <w:tab w:val="left" w:pos="3375"/>
        </w:tabs>
        <w:jc w:val="both"/>
        <w:rPr>
          <w:b/>
        </w:rPr>
      </w:pPr>
      <w:r>
        <w:br w:type="page"/>
      </w:r>
      <w:r w:rsidRPr="00DA2B09">
        <w:rPr>
          <w:b/>
        </w:rPr>
        <w:lastRenderedPageBreak/>
        <w:t>Les IFT</w:t>
      </w:r>
    </w:p>
    <w:p w:rsidR="00DA2B09" w:rsidRDefault="00DA2B09" w:rsidP="00DA2B09">
      <w:pPr>
        <w:pStyle w:val="Lgende"/>
        <w:keepNext/>
        <w:jc w:val="center"/>
      </w:pPr>
      <w:r>
        <w:t xml:space="preserve">Tableau </w:t>
      </w:r>
      <w:r w:rsidR="008F72D3">
        <w:fldChar w:fldCharType="begin"/>
      </w:r>
      <w:r w:rsidR="008F72D3">
        <w:instrText xml:space="preserve"> SEQ Tab</w:instrText>
      </w:r>
      <w:r w:rsidR="008F72D3">
        <w:instrText xml:space="preserve">leau \* ARABIC </w:instrText>
      </w:r>
      <w:r w:rsidR="008F72D3">
        <w:fldChar w:fldCharType="separate"/>
      </w:r>
      <w:r>
        <w:rPr>
          <w:noProof/>
        </w:rPr>
        <w:t>35</w:t>
      </w:r>
      <w:r w:rsidR="008F72D3">
        <w:rPr>
          <w:noProof/>
        </w:rPr>
        <w:fldChar w:fldCharType="end"/>
      </w:r>
      <w:r>
        <w:t xml:space="preserve"> : indices de fréquence de traitement par modalité</w:t>
      </w:r>
    </w:p>
    <w:p w:rsidR="00355202" w:rsidRDefault="00355202" w:rsidP="00355202">
      <w:pPr>
        <w:jc w:val="center"/>
      </w:pPr>
      <w:r>
        <w:fldChar w:fldCharType="begin"/>
      </w:r>
      <w:r>
        <w:instrText xml:space="preserve"> LINK Excel.Sheet.8 "" "" \a \p \* MERGEFORMAT </w:instrText>
      </w:r>
      <w:r>
        <w:fldChar w:fldCharType="separate"/>
      </w:r>
      <w:r>
        <w:rPr>
          <w:noProof/>
          <w:lang w:eastAsia="fr-FR"/>
        </w:rPr>
        <w:drawing>
          <wp:inline distT="0" distB="0" distL="0" distR="0">
            <wp:extent cx="5743575" cy="24765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3575" cy="2476500"/>
                    </a:xfrm>
                    <a:prstGeom prst="rect">
                      <a:avLst/>
                    </a:prstGeom>
                    <a:noFill/>
                    <a:ln>
                      <a:noFill/>
                    </a:ln>
                  </pic:spPr>
                </pic:pic>
              </a:graphicData>
            </a:graphic>
          </wp:inline>
        </w:drawing>
      </w:r>
      <w:r>
        <w:fldChar w:fldCharType="end"/>
      </w:r>
    </w:p>
    <w:p w:rsidR="00355202" w:rsidRDefault="00355202" w:rsidP="00355202">
      <w:pPr>
        <w:jc w:val="both"/>
      </w:pPr>
      <w:r>
        <w:t xml:space="preserve">Les indices de fréquence de traitement ont été calculés pour chaque modalité, par type d’usage (herbicide, fongicide et insecticide). </w:t>
      </w:r>
    </w:p>
    <w:p w:rsidR="00355202" w:rsidRDefault="00355202" w:rsidP="00355202"/>
    <w:p w:rsidR="00DA2B09" w:rsidRDefault="00355202" w:rsidP="00DA2B09">
      <w:pPr>
        <w:keepNext/>
        <w:jc w:val="center"/>
      </w:pPr>
      <w:r>
        <w:fldChar w:fldCharType="begin"/>
      </w:r>
      <w:r>
        <w:instrText xml:space="preserve"> LINK Excel.Sheet.8 "" "" \a \p \* MERGEFORMAT </w:instrText>
      </w:r>
      <w:r>
        <w:fldChar w:fldCharType="separate"/>
      </w:r>
      <w:r>
        <w:rPr>
          <w:noProof/>
          <w:lang w:eastAsia="fr-FR"/>
        </w:rPr>
        <w:drawing>
          <wp:inline distT="0" distB="0" distL="0" distR="0" wp14:anchorId="5CA98985" wp14:editId="6F0DA0A2">
            <wp:extent cx="4591050" cy="27622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r>
        <w:fldChar w:fldCharType="end"/>
      </w:r>
    </w:p>
    <w:p w:rsidR="00355202" w:rsidRDefault="00DA2B09" w:rsidP="00DA2B09">
      <w:pPr>
        <w:pStyle w:val="Lgende"/>
        <w:jc w:val="center"/>
      </w:pPr>
      <w:r>
        <w:t xml:space="preserve">Figure </w:t>
      </w:r>
      <w:r w:rsidR="008F72D3">
        <w:fldChar w:fldCharType="begin"/>
      </w:r>
      <w:r w:rsidR="008F72D3">
        <w:instrText xml:space="preserve"> SEQ Figure \* ARABIC </w:instrText>
      </w:r>
      <w:r w:rsidR="008F72D3">
        <w:fldChar w:fldCharType="separate"/>
      </w:r>
      <w:r>
        <w:rPr>
          <w:noProof/>
        </w:rPr>
        <w:t>28</w:t>
      </w:r>
      <w:r w:rsidR="008F72D3">
        <w:rPr>
          <w:noProof/>
        </w:rPr>
        <w:fldChar w:fldCharType="end"/>
      </w:r>
      <w:r>
        <w:t>: IFT par modalité</w:t>
      </w:r>
    </w:p>
    <w:p w:rsidR="00355202" w:rsidRDefault="00355202" w:rsidP="00355202">
      <w:pPr>
        <w:pStyle w:val="Paragraphedeliste"/>
        <w:numPr>
          <w:ilvl w:val="0"/>
          <w:numId w:val="44"/>
        </w:numPr>
        <w:suppressAutoHyphens w:val="0"/>
        <w:spacing w:after="0"/>
        <w:contextualSpacing/>
        <w:jc w:val="both"/>
      </w:pPr>
      <w:r>
        <w:t xml:space="preserve">Les doses employées dans les modalités « pleine dose » sont déjà raisonnées, inférieures aux doses homologuées pour les fongicides. </w:t>
      </w:r>
    </w:p>
    <w:p w:rsidR="00355202" w:rsidRDefault="00355202" w:rsidP="00355202">
      <w:pPr>
        <w:pStyle w:val="Paragraphedeliste"/>
        <w:numPr>
          <w:ilvl w:val="0"/>
          <w:numId w:val="44"/>
        </w:numPr>
        <w:suppressAutoHyphens w:val="0"/>
        <w:spacing w:after="0"/>
        <w:contextualSpacing/>
        <w:jc w:val="both"/>
      </w:pPr>
      <w:r>
        <w:t xml:space="preserve">L’IFT fongicide pour la modalité « réduction de dose » est de 7.57 pour le millésime 2015, alors qu’elle était que de 11.44 en 2014, ceci s’expliquant par la pression mildiou et oïdium alors plus élevée sur cette parcelle. </w:t>
      </w:r>
    </w:p>
    <w:p w:rsidR="00355202" w:rsidRDefault="00355202" w:rsidP="00355202">
      <w:pPr>
        <w:pStyle w:val="Paragraphedeliste"/>
        <w:numPr>
          <w:ilvl w:val="0"/>
          <w:numId w:val="44"/>
        </w:numPr>
        <w:suppressAutoHyphens w:val="0"/>
        <w:spacing w:after="0"/>
        <w:contextualSpacing/>
        <w:jc w:val="both"/>
      </w:pPr>
      <w:r>
        <w:t xml:space="preserve">On constate une diminution de l’IFT totale de la modalité « réduction » de 31% par rapport à la modalité « pleine dose ». La diminution porte sur l’emploi des fongicides (mildiou et oïdium : -43%), intrants les plus utilisés en viticulture. </w:t>
      </w:r>
    </w:p>
    <w:p w:rsidR="00355202" w:rsidRDefault="00355202" w:rsidP="00355202">
      <w:pPr>
        <w:pStyle w:val="Paragraphedeliste"/>
        <w:numPr>
          <w:ilvl w:val="0"/>
          <w:numId w:val="44"/>
        </w:numPr>
        <w:suppressAutoHyphens w:val="0"/>
        <w:spacing w:after="0"/>
        <w:contextualSpacing/>
        <w:jc w:val="both"/>
      </w:pPr>
      <w:r>
        <w:t>La faible pression mildiou/oïdium a permis une diminution IFT « réduction » versus « pleine dose » plus importante cette année (43%) qu’en 2014 (28%)</w:t>
      </w:r>
    </w:p>
    <w:p w:rsidR="00355202" w:rsidRDefault="00355202" w:rsidP="00355202">
      <w:pPr>
        <w:pStyle w:val="Paragraphedeliste"/>
        <w:ind w:left="360"/>
        <w:jc w:val="both"/>
      </w:pPr>
    </w:p>
    <w:p w:rsidR="00355202" w:rsidRDefault="00355202" w:rsidP="00355202">
      <w:pPr>
        <w:pStyle w:val="Paragraphedeliste"/>
        <w:ind w:left="360"/>
        <w:jc w:val="both"/>
      </w:pPr>
    </w:p>
    <w:p w:rsidR="00DA2B09" w:rsidRDefault="00DA2B09" w:rsidP="00355202">
      <w:pPr>
        <w:pStyle w:val="Paragraphedeliste"/>
        <w:ind w:left="360"/>
        <w:jc w:val="both"/>
      </w:pPr>
    </w:p>
    <w:p w:rsidR="00355202" w:rsidRPr="00DA2B09" w:rsidRDefault="00355202" w:rsidP="00DA2B09">
      <w:pPr>
        <w:rPr>
          <w:b/>
        </w:rPr>
      </w:pPr>
      <w:r w:rsidRPr="00DA2B09">
        <w:rPr>
          <w:b/>
        </w:rPr>
        <w:lastRenderedPageBreak/>
        <w:t xml:space="preserve">Conclusion </w:t>
      </w:r>
    </w:p>
    <w:p w:rsidR="00355202" w:rsidRDefault="00355202" w:rsidP="00355202">
      <w:pPr>
        <w:jc w:val="both"/>
      </w:pPr>
      <w:r>
        <w:t>Le millésime 2015 a été semblable aux millésimes 2012 et 2013 du point de vue pression phytosanitaire, qui s’est avérée faible voire inexistante, comme en attestent les notations faites sur la modalité « témoin non traité ».</w:t>
      </w:r>
    </w:p>
    <w:p w:rsidR="00355202" w:rsidRDefault="00355202" w:rsidP="00355202">
      <w:pPr>
        <w:jc w:val="both"/>
      </w:pPr>
      <w:r>
        <w:t>La diminution des doses de produits phytosanitaires n’a pas eu de répercussion du point de vue sanitaire, la vendange est saine, et correspond aux objectifs de production, quelle que soit la modalité. Dans ce contexte de faible pression, sur cette parcelle, la réduction d’intrant se justifie pleinement.</w:t>
      </w:r>
    </w:p>
    <w:p w:rsidR="00355202" w:rsidRDefault="00355202" w:rsidP="00355202">
      <w:pPr>
        <w:jc w:val="both"/>
      </w:pPr>
      <w:r>
        <w:t>Les modalités 2015 ne sont pas reconduites dans le même contexte pour 2016. L’exploitant s’est engagé dans une conversion en agriculture biologique. Il a été décidé :</w:t>
      </w:r>
    </w:p>
    <w:p w:rsidR="00355202" w:rsidRDefault="00355202" w:rsidP="00355202">
      <w:pPr>
        <w:numPr>
          <w:ilvl w:val="0"/>
          <w:numId w:val="45"/>
        </w:numPr>
        <w:suppressAutoHyphens w:val="0"/>
        <w:spacing w:after="0"/>
        <w:jc w:val="both"/>
      </w:pPr>
      <w:r>
        <w:t>de maintenir les rangs servant de référence « témoin non traité » et qui permettent d’évaluer la pression sanitaire sur la parcelle pour un millésime donné.</w:t>
      </w:r>
    </w:p>
    <w:p w:rsidR="00355202" w:rsidRDefault="00355202" w:rsidP="00355202">
      <w:pPr>
        <w:numPr>
          <w:ilvl w:val="0"/>
          <w:numId w:val="45"/>
        </w:numPr>
        <w:suppressAutoHyphens w:val="0"/>
        <w:spacing w:after="0"/>
        <w:jc w:val="both"/>
      </w:pPr>
      <w:r>
        <w:t>de maintenir les modalités « pleine dose » et « réduction » avec leurs placettes de notations respectives mises en place en 2013, « pleine dose » et « réduction » s’entendant par rapport aux matières actives et doses autorisées par le cahier des charges AB.</w:t>
      </w:r>
    </w:p>
    <w:p w:rsidR="00355202" w:rsidRDefault="00355202" w:rsidP="00355202">
      <w:pPr>
        <w:numPr>
          <w:ilvl w:val="0"/>
          <w:numId w:val="45"/>
        </w:numPr>
        <w:suppressAutoHyphens w:val="0"/>
        <w:spacing w:after="0"/>
        <w:jc w:val="both"/>
      </w:pPr>
      <w:r>
        <w:t>de mettre en place un référent « pleine dose » agriculture conventionnelle sur du Vermentinu présent sur une parcelle voisine (non concernée par la conversion). Ce référent, à l’instar de son homologue « non traité » devrait comporte 2 placettes de 30 ceps.</w:t>
      </w:r>
    </w:p>
    <w:p w:rsidR="00DA2B09" w:rsidRDefault="00DA2B09"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64188D" w:rsidRDefault="0064188D" w:rsidP="00DA2B09">
      <w:pPr>
        <w:suppressAutoHyphens w:val="0"/>
        <w:spacing w:after="0"/>
        <w:jc w:val="both"/>
      </w:pPr>
    </w:p>
    <w:p w:rsidR="00DA2B09" w:rsidRDefault="00DA2B09" w:rsidP="00DA2B09">
      <w:pPr>
        <w:pStyle w:val="Titre1"/>
        <w:numPr>
          <w:ilvl w:val="0"/>
          <w:numId w:val="35"/>
        </w:numPr>
      </w:pPr>
      <w:bookmarkStart w:id="28" w:name="_Toc446344579"/>
      <w:r>
        <w:lastRenderedPageBreak/>
        <w:t xml:space="preserve">Bilan à </w:t>
      </w:r>
      <w:bookmarkEnd w:id="28"/>
      <w:r w:rsidR="00827897">
        <w:t>mi-parcours</w:t>
      </w:r>
    </w:p>
    <w:p w:rsidR="00827897" w:rsidRDefault="00827897" w:rsidP="00827897">
      <w:pPr>
        <w:rPr>
          <w:color w:val="00B050"/>
          <w:lang w:eastAsia="en-US"/>
        </w:rPr>
      </w:pPr>
      <w:r w:rsidRPr="00827897">
        <w:rPr>
          <w:color w:val="F79646" w:themeColor="accent6"/>
          <w:lang w:eastAsia="en-US"/>
        </w:rPr>
        <w:t xml:space="preserve">Les clémentines </w:t>
      </w:r>
      <w:r w:rsidRPr="00827897">
        <w:rPr>
          <w:color w:val="00B050"/>
          <w:lang w:eastAsia="en-US"/>
        </w:rPr>
        <w:t>et les kiwis</w:t>
      </w:r>
    </w:p>
    <w:p w:rsidR="003375D7" w:rsidRPr="00D61EE6" w:rsidRDefault="00D61EE6" w:rsidP="00C64F97">
      <w:pPr>
        <w:jc w:val="both"/>
        <w:rPr>
          <w:lang w:eastAsia="en-US"/>
        </w:rPr>
      </w:pPr>
      <w:r>
        <w:rPr>
          <w:lang w:eastAsia="en-US"/>
        </w:rPr>
        <w:t xml:space="preserve">Sur clémentiniers, </w:t>
      </w:r>
      <w:r w:rsidR="003375D7">
        <w:rPr>
          <w:lang w:eastAsia="en-US"/>
        </w:rPr>
        <w:t>le bilan est tout de même positif au regard des pratiques en Plaine Orientale.  On constate que des leviers existent comme les lâchers d’auxiliaires, mais qu’ils ne seront pratiqués tant que les Pouvoirs publics locaux maintiendront les Mesures d’Aide Agro-environnementales territorialisées.  Si les lâchers ne sont plus « aidés » ce levier risque de bel et bien ne plus être utilisé. Mais globalement, si l’on regarde l’ensemble des pratiques, la réduction d’intrants est réelle même dans le secteur des herbicides qui est l’IFT le plus élevé. L’IFT fongicide est comme on a vu en 2015, très tributaires du climat et un printemps pluvieux peut entrainer une hausse des interventions.</w:t>
      </w:r>
      <w:r w:rsidR="00C64F97">
        <w:rPr>
          <w:lang w:eastAsia="en-US"/>
        </w:rPr>
        <w:t xml:space="preserve"> Toutefois, ce sont des situations qui demeurent exceptionnelles. </w:t>
      </w:r>
    </w:p>
    <w:p w:rsidR="00D61EE6" w:rsidRPr="00827897" w:rsidRDefault="00D61EE6" w:rsidP="00D61EE6">
      <w:pPr>
        <w:jc w:val="both"/>
        <w:rPr>
          <w:lang w:eastAsia="en-US"/>
        </w:rPr>
      </w:pPr>
      <w:r>
        <w:rPr>
          <w:lang w:eastAsia="en-US"/>
        </w:rPr>
        <w:t xml:space="preserve">Sur kiwis, le bilan à mi-parcours est très positif. L’ensemble des leviers mis en place pour la diminution d’intrants ont été positifs et ont permis une suppression totale des insecticides et des herbicides toute en conservant le potentiel économique et agronomique de la culture. </w:t>
      </w:r>
    </w:p>
    <w:p w:rsidR="002D7503" w:rsidRPr="00972EEF" w:rsidRDefault="00972EEF" w:rsidP="001F64CD">
      <w:pPr>
        <w:suppressAutoHyphens w:val="0"/>
        <w:spacing w:after="0" w:line="276" w:lineRule="auto"/>
        <w:jc w:val="both"/>
        <w:rPr>
          <w:rFonts w:cs="Times New Roman"/>
          <w:color w:val="7030A0"/>
          <w:sz w:val="24"/>
          <w:lang w:eastAsia="fr-FR"/>
        </w:rPr>
      </w:pPr>
      <w:r w:rsidRPr="00972EEF">
        <w:rPr>
          <w:rFonts w:cs="Times New Roman"/>
          <w:color w:val="7030A0"/>
          <w:sz w:val="24"/>
          <w:lang w:eastAsia="fr-FR"/>
        </w:rPr>
        <w:t>La vigne</w:t>
      </w:r>
    </w:p>
    <w:p w:rsidR="00DA2B09" w:rsidRDefault="00DA2B09" w:rsidP="00972EEF">
      <w:pPr>
        <w:jc w:val="both"/>
      </w:pPr>
      <w:r>
        <w:t xml:space="preserve">Pour le projet « dephy expe vigne » en Corse, l’approche système en tant que « regroupement de règles de décision », a été construite avec un nombre limité de paramètres décisionnels (optidose : volume du feuillage et risque indiqué par les BSV). De ce fait, elle s’est avérée assez simple à mettre en œuvre du point de vue du viticulteur et à gérer du point de vue de l’expérimentateur. </w:t>
      </w:r>
    </w:p>
    <w:p w:rsidR="00DA2B09" w:rsidRDefault="00DA2B09" w:rsidP="00972EEF">
      <w:pPr>
        <w:jc w:val="both"/>
      </w:pPr>
      <w:r>
        <w:t xml:space="preserve">La faisabilité de cette approche est essentiellement liée à la taille de la parcelle support de l’expérimentation : 12 ha en tout, chaque modalité ayant alors une surface conséquente (de 3 à 4 ha) permettant d’envisager la conduite de chacune en tant qu’  « unité culturale », grandeur nature, à l’échelle des outils et appareils de traitements. </w:t>
      </w:r>
    </w:p>
    <w:p w:rsidR="00972EEF" w:rsidRDefault="00DA2B09" w:rsidP="00972EEF">
      <w:pPr>
        <w:jc w:val="both"/>
      </w:pPr>
      <w:r>
        <w:t xml:space="preserve">Le caractère « réalisable » des pratiques envisagées doit être étudié sous 2 angles : </w:t>
      </w:r>
    </w:p>
    <w:p w:rsidR="00972EEF" w:rsidRDefault="00DA2B09" w:rsidP="00972EEF">
      <w:pPr>
        <w:pStyle w:val="Paragraphedeliste"/>
        <w:numPr>
          <w:ilvl w:val="0"/>
          <w:numId w:val="47"/>
        </w:numPr>
        <w:jc w:val="both"/>
      </w:pPr>
      <w:r>
        <w:t>transposabilité sur un autre cépage, dans d’autres conditions de pressions phytosanitaires : les résultats acquis (« la réduction d’intrants se justifie pleinement ») ne constituent pas une recette en tant que telle mais une simple référence multiparamétriques : cépage, parcelle, millésime, objectifs de production. Il serait extrêmement ambitieux de vouloir couvrir tous les cas de figure insulaires : diversité des cépages et des pressions phytosanitaires.</w:t>
      </w:r>
    </w:p>
    <w:p w:rsidR="00DA2B09" w:rsidRDefault="00DA2B09" w:rsidP="00972EEF">
      <w:pPr>
        <w:pStyle w:val="Paragraphedeliste"/>
        <w:numPr>
          <w:ilvl w:val="0"/>
          <w:numId w:val="47"/>
        </w:numPr>
        <w:jc w:val="both"/>
      </w:pPr>
      <w:r>
        <w:t>changement d’échelle : de la parcelle à l’exploitation</w:t>
      </w:r>
    </w:p>
    <w:p w:rsidR="00DA2B09" w:rsidRDefault="00DA2B09" w:rsidP="00972EEF">
      <w:pPr>
        <w:jc w:val="both"/>
      </w:pPr>
      <w:r>
        <w:t>La question de la faisabilité de l’approche « système » doit être réétudiée, à l’échelle de l’exploitation, considérant le parcellaire propre à chaque exploitation : taille de chaque unité culturale, positionnements relatifs.</w:t>
      </w:r>
    </w:p>
    <w:p w:rsidR="001F64CD" w:rsidRDefault="00DA2B09" w:rsidP="007F5D9F">
      <w:pPr>
        <w:jc w:val="both"/>
      </w:pPr>
      <w:r>
        <w:t>De par sa simplicité décrite ci-dessus (mise en œuvre et règles de décision), la conduite des systèmes est maîtrisée, sous toutes les réserves émises chaque année depuis le millésime 2012.</w:t>
      </w:r>
    </w:p>
    <w:p w:rsidR="0064188D" w:rsidRDefault="0064188D" w:rsidP="007F5D9F">
      <w:pPr>
        <w:jc w:val="both"/>
      </w:pPr>
    </w:p>
    <w:p w:rsidR="0064188D" w:rsidRDefault="0064188D" w:rsidP="007F5D9F">
      <w:pPr>
        <w:jc w:val="both"/>
      </w:pPr>
    </w:p>
    <w:p w:rsidR="0064188D" w:rsidRDefault="0064188D" w:rsidP="007F5D9F">
      <w:pPr>
        <w:jc w:val="both"/>
      </w:pPr>
    </w:p>
    <w:p w:rsidR="0064188D" w:rsidRDefault="0064188D" w:rsidP="007F5D9F">
      <w:pPr>
        <w:jc w:val="both"/>
      </w:pPr>
    </w:p>
    <w:p w:rsidR="0064188D" w:rsidRDefault="0064188D" w:rsidP="007F5D9F">
      <w:pPr>
        <w:jc w:val="both"/>
      </w:pPr>
    </w:p>
    <w:p w:rsidR="0064188D" w:rsidRDefault="0064188D" w:rsidP="007F5D9F">
      <w:pPr>
        <w:jc w:val="both"/>
      </w:pPr>
    </w:p>
    <w:p w:rsidR="0064188D" w:rsidRDefault="0064188D" w:rsidP="007F5D9F">
      <w:pPr>
        <w:jc w:val="both"/>
      </w:pPr>
    </w:p>
    <w:p w:rsidR="0064188D" w:rsidRDefault="0064188D" w:rsidP="007F5D9F">
      <w:pPr>
        <w:jc w:val="both"/>
      </w:pPr>
    </w:p>
    <w:p w:rsidR="0064188D" w:rsidRDefault="0064188D" w:rsidP="007F5D9F">
      <w:pPr>
        <w:jc w:val="both"/>
      </w:pPr>
    </w:p>
    <w:p w:rsidR="0064188D" w:rsidRPr="005F070D" w:rsidRDefault="0064188D" w:rsidP="007F5D9F">
      <w:pPr>
        <w:jc w:val="both"/>
      </w:pPr>
      <w:bookmarkStart w:id="29" w:name="_GoBack"/>
      <w:bookmarkEnd w:id="29"/>
    </w:p>
    <w:p w:rsidR="009C7FE8" w:rsidRPr="007F5D9F" w:rsidRDefault="007F5D9F" w:rsidP="007F5D9F">
      <w:pPr>
        <w:pStyle w:val="Titre"/>
        <w:rPr>
          <w:rFonts w:ascii="Times New Roman" w:hAnsi="Times New Roman"/>
          <w:sz w:val="22"/>
          <w:szCs w:val="24"/>
          <w:lang w:eastAsia="en-US"/>
        </w:rPr>
      </w:pPr>
      <w:bookmarkStart w:id="30" w:name="_Toc446344580"/>
      <w:r>
        <w:rPr>
          <w:rFonts w:ascii="Times New Roman" w:hAnsi="Times New Roman"/>
          <w:szCs w:val="24"/>
        </w:rPr>
        <w:lastRenderedPageBreak/>
        <w:t>ANN</w:t>
      </w:r>
      <w:r w:rsidR="00EE2B7C" w:rsidRPr="005F070D">
        <w:rPr>
          <w:rFonts w:ascii="Times New Roman" w:hAnsi="Times New Roman"/>
          <w:szCs w:val="24"/>
        </w:rPr>
        <w:t>EXES</w:t>
      </w:r>
      <w:bookmarkEnd w:id="30"/>
    </w:p>
    <w:p w:rsidR="00EE2B7C" w:rsidRPr="005F070D" w:rsidRDefault="00EE2B7C" w:rsidP="00EE2B7C">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D33B92" w:rsidRPr="005F070D" w:rsidRDefault="00D33B92" w:rsidP="00D33B92">
      <w:pPr>
        <w:rPr>
          <w:rFonts w:cs="Times New Roman"/>
          <w:sz w:val="24"/>
          <w:lang w:eastAsia="en-US"/>
        </w:rPr>
      </w:pPr>
    </w:p>
    <w:p w:rsidR="00E911AE" w:rsidRDefault="00E911AE" w:rsidP="00D33B92">
      <w:pPr>
        <w:rPr>
          <w:rFonts w:cs="Times New Roman"/>
          <w:sz w:val="24"/>
          <w:lang w:eastAsia="en-US"/>
        </w:rPr>
        <w:sectPr w:rsidR="00E911AE" w:rsidSect="00E911AE">
          <w:footerReference w:type="default" r:id="rId48"/>
          <w:footnotePr>
            <w:pos w:val="beneathText"/>
          </w:footnotePr>
          <w:pgSz w:w="11905" w:h="16837"/>
          <w:pgMar w:top="953" w:right="1418" w:bottom="1418" w:left="1418" w:header="567" w:footer="720" w:gutter="0"/>
          <w:cols w:space="720"/>
          <w:titlePg/>
          <w:docGrid w:linePitch="360"/>
        </w:sectPr>
      </w:pPr>
    </w:p>
    <w:p w:rsidR="00D33B92" w:rsidRDefault="00E911AE" w:rsidP="00D33B92">
      <w:pPr>
        <w:rPr>
          <w:rFonts w:cs="Times New Roman"/>
          <w:sz w:val="24"/>
          <w:lang w:eastAsia="en-US"/>
        </w:rPr>
      </w:pPr>
      <w:r w:rsidRPr="00E911AE">
        <w:rPr>
          <w:rFonts w:cs="Times New Roman"/>
          <w:b/>
          <w:color w:val="002060"/>
          <w:sz w:val="24"/>
          <w:u w:val="single"/>
          <w:lang w:eastAsia="en-US"/>
        </w:rPr>
        <w:lastRenderedPageBreak/>
        <w:t>Annexe 1</w:t>
      </w:r>
      <w:r>
        <w:rPr>
          <w:rFonts w:cs="Times New Roman"/>
          <w:sz w:val="24"/>
          <w:lang w:eastAsia="en-US"/>
        </w:rPr>
        <w:t> :</w:t>
      </w:r>
      <w:r w:rsidRPr="00E911AE">
        <w:rPr>
          <w:rFonts w:ascii="Calibri" w:hAnsi="Calibri" w:cs="Times New Roman"/>
          <w:b/>
          <w:bCs/>
          <w:color w:val="000000"/>
          <w:szCs w:val="22"/>
          <w:lang w:eastAsia="fr-FR"/>
        </w:rPr>
        <w:t xml:space="preserve"> </w:t>
      </w:r>
      <w:r w:rsidRPr="00E911AE">
        <w:rPr>
          <w:rFonts w:cs="Times New Roman"/>
          <w:bCs/>
          <w:color w:val="000000"/>
          <w:szCs w:val="22"/>
          <w:lang w:eastAsia="fr-FR"/>
        </w:rPr>
        <w:t>Tableau de recensement des données collectées, suivies, calculées, disponibles annuellement</w:t>
      </w:r>
    </w:p>
    <w:p w:rsidR="00E911AE" w:rsidRDefault="00E911AE" w:rsidP="00D33B92">
      <w:pPr>
        <w:rPr>
          <w:rFonts w:cs="Times New Roman"/>
          <w:sz w:val="24"/>
          <w:lang w:eastAsia="en-US"/>
        </w:rPr>
      </w:pPr>
    </w:p>
    <w:tbl>
      <w:tblPr>
        <w:tblW w:w="13406" w:type="dxa"/>
        <w:tblInd w:w="55" w:type="dxa"/>
        <w:tblLayout w:type="fixed"/>
        <w:tblCellMar>
          <w:left w:w="70" w:type="dxa"/>
          <w:right w:w="70" w:type="dxa"/>
        </w:tblCellMar>
        <w:tblLook w:val="04A0" w:firstRow="1" w:lastRow="0" w:firstColumn="1" w:lastColumn="0" w:noHBand="0" w:noVBand="1"/>
      </w:tblPr>
      <w:tblGrid>
        <w:gridCol w:w="2000"/>
        <w:gridCol w:w="2126"/>
        <w:gridCol w:w="1493"/>
        <w:gridCol w:w="2334"/>
        <w:gridCol w:w="1701"/>
        <w:gridCol w:w="2193"/>
        <w:gridCol w:w="1559"/>
      </w:tblGrid>
      <w:tr w:rsidR="00E911AE" w:rsidRPr="00E911AE" w:rsidTr="00E911AE">
        <w:trPr>
          <w:trHeight w:val="300"/>
        </w:trPr>
        <w:tc>
          <w:tcPr>
            <w:tcW w:w="2000" w:type="dxa"/>
            <w:tcBorders>
              <w:top w:val="nil"/>
              <w:left w:val="nil"/>
              <w:bottom w:val="nil"/>
              <w:right w:val="nil"/>
            </w:tcBorders>
            <w:shd w:val="clear" w:color="auto" w:fill="auto"/>
            <w:noWrap/>
          </w:tcPr>
          <w:p w:rsidR="00E911AE" w:rsidRPr="00E911AE" w:rsidRDefault="00E911AE" w:rsidP="00E911AE">
            <w:pPr>
              <w:suppressAutoHyphens w:val="0"/>
              <w:spacing w:after="0"/>
              <w:rPr>
                <w:rFonts w:ascii="Calibri" w:hAnsi="Calibri" w:cs="Times New Roman"/>
                <w:color w:val="000000"/>
                <w:szCs w:val="22"/>
                <w:lang w:eastAsia="fr-FR"/>
              </w:rPr>
            </w:pPr>
          </w:p>
        </w:tc>
        <w:tc>
          <w:tcPr>
            <w:tcW w:w="11406" w:type="dxa"/>
            <w:gridSpan w:val="6"/>
            <w:tcBorders>
              <w:top w:val="single" w:sz="4" w:space="0" w:color="auto"/>
              <w:left w:val="single" w:sz="4" w:space="0" w:color="auto"/>
              <w:bottom w:val="nil"/>
              <w:right w:val="single" w:sz="4" w:space="0" w:color="000000"/>
            </w:tcBorders>
            <w:shd w:val="clear" w:color="auto" w:fill="auto"/>
            <w:noWrap/>
          </w:tcPr>
          <w:p w:rsidR="00E911AE" w:rsidRPr="00E911AE" w:rsidRDefault="00E911AE" w:rsidP="00E911AE">
            <w:pPr>
              <w:suppressAutoHyphens w:val="0"/>
              <w:spacing w:after="0"/>
              <w:jc w:val="center"/>
              <w:rPr>
                <w:rFonts w:ascii="Calibri" w:hAnsi="Calibri" w:cs="Times New Roman"/>
                <w:b/>
                <w:bCs/>
                <w:color w:val="000000"/>
                <w:szCs w:val="22"/>
                <w:lang w:eastAsia="fr-FR"/>
              </w:rPr>
            </w:pPr>
            <w:r w:rsidRPr="00E911AE">
              <w:rPr>
                <w:rFonts w:ascii="Calibri" w:hAnsi="Calibri" w:cs="Times New Roman"/>
                <w:b/>
                <w:bCs/>
                <w:color w:val="000000"/>
                <w:szCs w:val="22"/>
                <w:lang w:eastAsia="fr-FR"/>
              </w:rPr>
              <w:t>Type de données</w:t>
            </w:r>
          </w:p>
        </w:tc>
      </w:tr>
      <w:tr w:rsidR="00E911AE" w:rsidRPr="00E911AE" w:rsidTr="00E911AE">
        <w:trPr>
          <w:trHeight w:val="300"/>
        </w:trPr>
        <w:tc>
          <w:tcPr>
            <w:tcW w:w="2000" w:type="dxa"/>
            <w:tcBorders>
              <w:top w:val="nil"/>
              <w:left w:val="nil"/>
              <w:bottom w:val="nil"/>
              <w:right w:val="nil"/>
            </w:tcBorders>
            <w:shd w:val="clear" w:color="auto" w:fill="auto"/>
            <w:noWrap/>
            <w:hideMark/>
          </w:tcPr>
          <w:p w:rsidR="00E911AE" w:rsidRPr="00E911AE" w:rsidRDefault="00E911AE" w:rsidP="00E911AE">
            <w:pPr>
              <w:suppressAutoHyphens w:val="0"/>
              <w:spacing w:after="0"/>
              <w:rPr>
                <w:rFonts w:ascii="Calibri" w:hAnsi="Calibri" w:cs="Times New Roman"/>
                <w:color w:val="000000"/>
                <w:szCs w:val="22"/>
                <w:lang w:eastAsia="fr-FR"/>
              </w:rPr>
            </w:pPr>
          </w:p>
        </w:tc>
        <w:tc>
          <w:tcPr>
            <w:tcW w:w="3619" w:type="dxa"/>
            <w:gridSpan w:val="2"/>
            <w:tcBorders>
              <w:top w:val="single" w:sz="4" w:space="0" w:color="auto"/>
              <w:left w:val="single" w:sz="4" w:space="0" w:color="auto"/>
              <w:bottom w:val="nil"/>
              <w:right w:val="single" w:sz="4" w:space="0" w:color="auto"/>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Pratiques</w:t>
            </w:r>
          </w:p>
        </w:tc>
        <w:tc>
          <w:tcPr>
            <w:tcW w:w="4035" w:type="dxa"/>
            <w:gridSpan w:val="2"/>
            <w:tcBorders>
              <w:top w:val="single" w:sz="4" w:space="0" w:color="auto"/>
              <w:left w:val="nil"/>
              <w:bottom w:val="nil"/>
              <w:right w:val="single" w:sz="4" w:space="0" w:color="auto"/>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Observations-Mesures</w:t>
            </w:r>
          </w:p>
        </w:tc>
        <w:tc>
          <w:tcPr>
            <w:tcW w:w="3752" w:type="dxa"/>
            <w:gridSpan w:val="2"/>
            <w:tcBorders>
              <w:top w:val="single" w:sz="4" w:space="0" w:color="auto"/>
              <w:left w:val="nil"/>
              <w:bottom w:val="nil"/>
              <w:right w:val="single" w:sz="4" w:space="0" w:color="000000"/>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 xml:space="preserve">Indicateurs de performance </w:t>
            </w:r>
          </w:p>
        </w:tc>
      </w:tr>
      <w:tr w:rsidR="00E911AE" w:rsidRPr="00E911AE" w:rsidTr="00E911AE">
        <w:trPr>
          <w:trHeight w:val="300"/>
        </w:trPr>
        <w:tc>
          <w:tcPr>
            <w:tcW w:w="2000" w:type="dxa"/>
            <w:tcBorders>
              <w:top w:val="single" w:sz="4" w:space="0" w:color="auto"/>
              <w:left w:val="single" w:sz="4" w:space="0" w:color="auto"/>
              <w:bottom w:val="single" w:sz="4" w:space="0" w:color="auto"/>
              <w:right w:val="nil"/>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Nom site</w:t>
            </w:r>
          </w:p>
        </w:tc>
        <w:tc>
          <w:tcPr>
            <w:tcW w:w="2126" w:type="dxa"/>
            <w:tcBorders>
              <w:top w:val="single" w:sz="4" w:space="0" w:color="auto"/>
              <w:left w:val="single" w:sz="4" w:space="0" w:color="auto"/>
              <w:bottom w:val="single" w:sz="4" w:space="0" w:color="auto"/>
              <w:right w:val="nil"/>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Liste de variable</w:t>
            </w:r>
          </w:p>
        </w:tc>
        <w:tc>
          <w:tcPr>
            <w:tcW w:w="1493" w:type="dxa"/>
            <w:tcBorders>
              <w:top w:val="single" w:sz="4" w:space="0" w:color="auto"/>
              <w:left w:val="nil"/>
              <w:bottom w:val="single" w:sz="4" w:space="0" w:color="auto"/>
              <w:right w:val="single" w:sz="4" w:space="0" w:color="auto"/>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Outil utilisé</w:t>
            </w:r>
          </w:p>
        </w:tc>
        <w:tc>
          <w:tcPr>
            <w:tcW w:w="2334" w:type="dxa"/>
            <w:tcBorders>
              <w:top w:val="single" w:sz="4" w:space="0" w:color="auto"/>
              <w:left w:val="nil"/>
              <w:bottom w:val="single" w:sz="4" w:space="0" w:color="auto"/>
              <w:right w:val="nil"/>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Liste de variable</w:t>
            </w:r>
          </w:p>
        </w:tc>
        <w:tc>
          <w:tcPr>
            <w:tcW w:w="1701" w:type="dxa"/>
            <w:tcBorders>
              <w:top w:val="single" w:sz="4" w:space="0" w:color="auto"/>
              <w:left w:val="nil"/>
              <w:bottom w:val="single" w:sz="4" w:space="0" w:color="auto"/>
              <w:right w:val="single" w:sz="4" w:space="0" w:color="auto"/>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Outil utilisé</w:t>
            </w:r>
          </w:p>
        </w:tc>
        <w:tc>
          <w:tcPr>
            <w:tcW w:w="2193" w:type="dxa"/>
            <w:tcBorders>
              <w:top w:val="single" w:sz="4" w:space="0" w:color="auto"/>
              <w:left w:val="nil"/>
              <w:bottom w:val="single" w:sz="4" w:space="0" w:color="auto"/>
              <w:right w:val="nil"/>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Liste d'indicateur</w:t>
            </w:r>
          </w:p>
        </w:tc>
        <w:tc>
          <w:tcPr>
            <w:tcW w:w="1559" w:type="dxa"/>
            <w:tcBorders>
              <w:top w:val="single" w:sz="4" w:space="0" w:color="auto"/>
              <w:left w:val="nil"/>
              <w:bottom w:val="single" w:sz="4" w:space="0" w:color="auto"/>
              <w:right w:val="single" w:sz="4" w:space="0" w:color="auto"/>
            </w:tcBorders>
            <w:shd w:val="clear" w:color="auto" w:fill="auto"/>
            <w:noWrap/>
            <w:hideMark/>
          </w:tcPr>
          <w:p w:rsidR="00E911AE" w:rsidRPr="00E911AE" w:rsidRDefault="00E911AE" w:rsidP="00E911AE">
            <w:pPr>
              <w:suppressAutoHyphens w:val="0"/>
              <w:spacing w:after="0"/>
              <w:rPr>
                <w:rFonts w:ascii="Calibri" w:hAnsi="Calibri" w:cs="Times New Roman"/>
                <w:b/>
                <w:bCs/>
                <w:color w:val="000000"/>
                <w:szCs w:val="22"/>
                <w:lang w:eastAsia="fr-FR"/>
              </w:rPr>
            </w:pPr>
            <w:r w:rsidRPr="00E911AE">
              <w:rPr>
                <w:rFonts w:ascii="Calibri" w:hAnsi="Calibri" w:cs="Times New Roman"/>
                <w:b/>
                <w:bCs/>
                <w:color w:val="000000"/>
                <w:szCs w:val="22"/>
                <w:lang w:eastAsia="fr-FR"/>
              </w:rPr>
              <w:t>Outil utilisé</w:t>
            </w:r>
          </w:p>
        </w:tc>
      </w:tr>
      <w:tr w:rsidR="00C223A9" w:rsidRPr="00E911AE" w:rsidTr="00784F2E">
        <w:trPr>
          <w:trHeight w:val="1140"/>
        </w:trPr>
        <w:tc>
          <w:tcPr>
            <w:tcW w:w="2000" w:type="dxa"/>
            <w:vMerge w:val="restart"/>
            <w:tcBorders>
              <w:top w:val="single" w:sz="4" w:space="0" w:color="auto"/>
              <w:left w:val="single" w:sz="4" w:space="0" w:color="auto"/>
              <w:right w:val="nil"/>
            </w:tcBorders>
            <w:shd w:val="clear" w:color="auto" w:fill="auto"/>
            <w:noWrap/>
            <w:hideMark/>
          </w:tcPr>
          <w:p w:rsidR="00C223A9" w:rsidRPr="00E911AE" w:rsidRDefault="00C223A9" w:rsidP="00E911AE">
            <w:pPr>
              <w:suppressAutoHyphens w:val="0"/>
              <w:spacing w:after="0"/>
              <w:rPr>
                <w:rFonts w:ascii="Calibri" w:hAnsi="Calibri" w:cs="Times New Roman"/>
                <w:i/>
                <w:color w:val="000000"/>
                <w:szCs w:val="22"/>
                <w:lang w:eastAsia="fr-FR"/>
              </w:rPr>
            </w:pPr>
            <w:r>
              <w:rPr>
                <w:rFonts w:ascii="Calibri" w:hAnsi="Calibri" w:cs="Times New Roman"/>
                <w:i/>
                <w:color w:val="000000"/>
                <w:szCs w:val="22"/>
                <w:lang w:eastAsia="fr-FR"/>
              </w:rPr>
              <w:t>Lycée Agricole</w:t>
            </w:r>
          </w:p>
        </w:tc>
        <w:tc>
          <w:tcPr>
            <w:tcW w:w="2126" w:type="dxa"/>
            <w:vMerge w:val="restart"/>
            <w:tcBorders>
              <w:top w:val="single" w:sz="4" w:space="0" w:color="auto"/>
              <w:left w:val="single" w:sz="4" w:space="0" w:color="auto"/>
              <w:right w:val="dashed" w:sz="4" w:space="0" w:color="auto"/>
            </w:tcBorders>
            <w:shd w:val="clear" w:color="auto" w:fill="auto"/>
            <w:noWrap/>
            <w:hideMark/>
          </w:tcPr>
          <w:p w:rsidR="00C223A9" w:rsidRPr="00E911AE" w:rsidRDefault="00C223A9" w:rsidP="00E911AE">
            <w:pPr>
              <w:suppressAutoHyphens w:val="0"/>
              <w:spacing w:after="0"/>
              <w:rPr>
                <w:rFonts w:ascii="Calibri" w:hAnsi="Calibri" w:cs="Times New Roman"/>
                <w:i/>
                <w:color w:val="000000"/>
                <w:szCs w:val="22"/>
                <w:lang w:eastAsia="fr-FR"/>
              </w:rPr>
            </w:pPr>
            <w:r w:rsidRPr="00E911AE">
              <w:rPr>
                <w:rFonts w:ascii="Calibri" w:hAnsi="Calibri" w:cs="Times New Roman"/>
                <w:i/>
                <w:color w:val="000000"/>
                <w:szCs w:val="22"/>
                <w:lang w:eastAsia="fr-FR"/>
              </w:rPr>
              <w:t>type d'intervention culturale, intrants, date, dose</w:t>
            </w:r>
            <w:r>
              <w:rPr>
                <w:rFonts w:ascii="Calibri" w:hAnsi="Calibri" w:cs="Times New Roman"/>
                <w:i/>
                <w:color w:val="000000"/>
                <w:szCs w:val="22"/>
                <w:lang w:eastAsia="fr-FR"/>
              </w:rPr>
              <w:t>, matériel utilisé</w:t>
            </w:r>
          </w:p>
        </w:tc>
        <w:tc>
          <w:tcPr>
            <w:tcW w:w="1493" w:type="dxa"/>
            <w:vMerge w:val="restart"/>
            <w:tcBorders>
              <w:top w:val="single" w:sz="4" w:space="0" w:color="auto"/>
              <w:left w:val="dashed" w:sz="4" w:space="0" w:color="auto"/>
              <w:right w:val="single" w:sz="4" w:space="0" w:color="auto"/>
            </w:tcBorders>
            <w:shd w:val="clear" w:color="auto" w:fill="auto"/>
            <w:noWrap/>
            <w:hideMark/>
          </w:tcPr>
          <w:p w:rsidR="00C223A9" w:rsidRPr="00E911AE" w:rsidRDefault="00C223A9" w:rsidP="00E911AE">
            <w:pPr>
              <w:suppressAutoHyphens w:val="0"/>
              <w:spacing w:after="0"/>
              <w:rPr>
                <w:rFonts w:ascii="Calibri" w:hAnsi="Calibri" w:cs="Times New Roman"/>
                <w:i/>
                <w:color w:val="000000"/>
                <w:szCs w:val="22"/>
                <w:lang w:eastAsia="fr-FR"/>
              </w:rPr>
            </w:pPr>
            <w:r w:rsidRPr="00E911AE">
              <w:rPr>
                <w:rFonts w:ascii="Calibri" w:hAnsi="Calibri" w:cs="Times New Roman"/>
                <w:i/>
                <w:color w:val="000000"/>
                <w:szCs w:val="22"/>
                <w:lang w:eastAsia="fr-FR"/>
              </w:rPr>
              <w:t>Agrosyst</w:t>
            </w:r>
          </w:p>
        </w:tc>
        <w:tc>
          <w:tcPr>
            <w:tcW w:w="2334" w:type="dxa"/>
            <w:vMerge w:val="restart"/>
            <w:tcBorders>
              <w:top w:val="single" w:sz="4" w:space="0" w:color="auto"/>
              <w:left w:val="nil"/>
              <w:right w:val="dashed" w:sz="4" w:space="0" w:color="auto"/>
            </w:tcBorders>
            <w:shd w:val="clear" w:color="auto" w:fill="auto"/>
            <w:noWrap/>
            <w:hideMark/>
          </w:tcPr>
          <w:p w:rsidR="00C223A9" w:rsidRDefault="00C223A9" w:rsidP="00E911AE">
            <w:pPr>
              <w:suppressAutoHyphens w:val="0"/>
              <w:spacing w:after="0"/>
              <w:rPr>
                <w:rFonts w:ascii="Calibri" w:hAnsi="Calibri" w:cs="Times New Roman"/>
                <w:i/>
                <w:color w:val="000000"/>
                <w:szCs w:val="22"/>
                <w:lang w:eastAsia="fr-FR"/>
              </w:rPr>
            </w:pPr>
            <w:r>
              <w:rPr>
                <w:rFonts w:ascii="Calibri" w:hAnsi="Calibri" w:cs="Times New Roman"/>
                <w:i/>
                <w:color w:val="000000"/>
                <w:szCs w:val="22"/>
                <w:lang w:eastAsia="fr-FR"/>
              </w:rPr>
              <w:t>Relevé pièges cératites</w:t>
            </w:r>
          </w:p>
          <w:p w:rsidR="00C223A9" w:rsidRPr="00E911AE" w:rsidRDefault="00C223A9" w:rsidP="00E911AE">
            <w:pPr>
              <w:suppressAutoHyphens w:val="0"/>
              <w:spacing w:after="0"/>
              <w:rPr>
                <w:rFonts w:ascii="Calibri" w:hAnsi="Calibri" w:cs="Times New Roman"/>
                <w:i/>
                <w:color w:val="000000"/>
                <w:szCs w:val="22"/>
                <w:lang w:eastAsia="fr-FR"/>
              </w:rPr>
            </w:pPr>
            <w:r>
              <w:rPr>
                <w:rFonts w:ascii="Calibri" w:hAnsi="Calibri" w:cs="Times New Roman"/>
                <w:i/>
                <w:color w:val="000000"/>
                <w:szCs w:val="22"/>
                <w:lang w:eastAsia="fr-FR"/>
              </w:rPr>
              <w:t>Qualité interne des fruits, rendements, écarts</w:t>
            </w:r>
          </w:p>
        </w:tc>
        <w:tc>
          <w:tcPr>
            <w:tcW w:w="1701" w:type="dxa"/>
            <w:vMerge w:val="restart"/>
            <w:tcBorders>
              <w:top w:val="single" w:sz="4" w:space="0" w:color="auto"/>
              <w:left w:val="dashed" w:sz="4" w:space="0" w:color="auto"/>
              <w:right w:val="single" w:sz="4" w:space="0" w:color="auto"/>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r>
              <w:rPr>
                <w:rFonts w:ascii="Calibri" w:hAnsi="Calibri" w:cs="Times New Roman"/>
                <w:i/>
                <w:color w:val="000000"/>
                <w:szCs w:val="22"/>
                <w:lang w:eastAsia="fr-FR"/>
              </w:rPr>
              <w:t>Fichier Excel</w:t>
            </w:r>
          </w:p>
        </w:tc>
        <w:tc>
          <w:tcPr>
            <w:tcW w:w="2193" w:type="dxa"/>
            <w:tcBorders>
              <w:top w:val="single" w:sz="4" w:space="0" w:color="auto"/>
              <w:left w:val="nil"/>
              <w:bottom w:val="dashed" w:sz="4" w:space="0" w:color="auto"/>
              <w:right w:val="dashed" w:sz="4" w:space="0" w:color="auto"/>
            </w:tcBorders>
            <w:shd w:val="clear" w:color="auto" w:fill="auto"/>
            <w:noWrap/>
            <w:hideMark/>
          </w:tcPr>
          <w:p w:rsidR="00C223A9" w:rsidRDefault="00C223A9" w:rsidP="00E911AE">
            <w:pPr>
              <w:suppressAutoHyphens w:val="0"/>
              <w:spacing w:after="0"/>
              <w:rPr>
                <w:rFonts w:ascii="Calibri" w:hAnsi="Calibri" w:cs="Times New Roman"/>
                <w:i/>
                <w:color w:val="000000"/>
                <w:szCs w:val="22"/>
                <w:lang w:eastAsia="fr-FR"/>
              </w:rPr>
            </w:pPr>
            <w:r w:rsidRPr="00E911AE">
              <w:rPr>
                <w:rFonts w:ascii="Calibri" w:hAnsi="Calibri" w:cs="Times New Roman"/>
                <w:i/>
                <w:color w:val="000000"/>
                <w:szCs w:val="22"/>
                <w:lang w:eastAsia="fr-FR"/>
              </w:rPr>
              <w:t>IFT</w:t>
            </w:r>
          </w:p>
          <w:p w:rsidR="00C223A9" w:rsidRPr="00E911AE" w:rsidRDefault="00C223A9" w:rsidP="00E911AE">
            <w:pPr>
              <w:suppressAutoHyphens w:val="0"/>
              <w:spacing w:after="0"/>
              <w:rPr>
                <w:rFonts w:ascii="Calibri" w:hAnsi="Calibri" w:cs="Times New Roman"/>
                <w:i/>
                <w:color w:val="000000"/>
                <w:szCs w:val="22"/>
                <w:lang w:eastAsia="fr-FR"/>
              </w:rPr>
            </w:pPr>
          </w:p>
        </w:tc>
        <w:tc>
          <w:tcPr>
            <w:tcW w:w="1559" w:type="dxa"/>
            <w:tcBorders>
              <w:top w:val="single" w:sz="4" w:space="0" w:color="auto"/>
              <w:left w:val="dashed" w:sz="4" w:space="0" w:color="auto"/>
              <w:bottom w:val="dashed" w:sz="4" w:space="0" w:color="auto"/>
              <w:right w:val="single" w:sz="4" w:space="0" w:color="auto"/>
            </w:tcBorders>
            <w:shd w:val="clear" w:color="auto" w:fill="auto"/>
            <w:noWrap/>
          </w:tcPr>
          <w:p w:rsidR="00C223A9" w:rsidRPr="00E911AE" w:rsidRDefault="00C223A9" w:rsidP="00E911AE">
            <w:pPr>
              <w:spacing w:after="0"/>
              <w:rPr>
                <w:rFonts w:ascii="Calibri" w:hAnsi="Calibri" w:cs="Times New Roman"/>
                <w:i/>
                <w:color w:val="000000"/>
                <w:szCs w:val="22"/>
                <w:lang w:eastAsia="fr-FR"/>
              </w:rPr>
            </w:pPr>
            <w:r w:rsidRPr="00E911AE">
              <w:rPr>
                <w:rFonts w:ascii="Calibri" w:hAnsi="Calibri" w:cs="Times New Roman"/>
                <w:i/>
                <w:color w:val="000000"/>
                <w:szCs w:val="22"/>
                <w:lang w:eastAsia="fr-FR"/>
              </w:rPr>
              <w:t xml:space="preserve">Agrosyst, </w:t>
            </w:r>
          </w:p>
        </w:tc>
      </w:tr>
      <w:tr w:rsidR="00C223A9" w:rsidRPr="00E911AE" w:rsidTr="00784F2E">
        <w:trPr>
          <w:trHeight w:val="1140"/>
        </w:trPr>
        <w:tc>
          <w:tcPr>
            <w:tcW w:w="2000" w:type="dxa"/>
            <w:vMerge/>
            <w:tcBorders>
              <w:left w:val="single" w:sz="4" w:space="0" w:color="auto"/>
              <w:right w:val="nil"/>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p>
        </w:tc>
        <w:tc>
          <w:tcPr>
            <w:tcW w:w="2126" w:type="dxa"/>
            <w:vMerge/>
            <w:tcBorders>
              <w:left w:val="single" w:sz="4" w:space="0" w:color="auto"/>
              <w:right w:val="dashed" w:sz="4" w:space="0" w:color="auto"/>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p>
        </w:tc>
        <w:tc>
          <w:tcPr>
            <w:tcW w:w="1493" w:type="dxa"/>
            <w:vMerge/>
            <w:tcBorders>
              <w:left w:val="dashed" w:sz="4" w:space="0" w:color="auto"/>
              <w:right w:val="single" w:sz="4" w:space="0" w:color="auto"/>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p>
        </w:tc>
        <w:tc>
          <w:tcPr>
            <w:tcW w:w="2334" w:type="dxa"/>
            <w:vMerge/>
            <w:tcBorders>
              <w:left w:val="nil"/>
              <w:bottom w:val="dashed" w:sz="4" w:space="0" w:color="auto"/>
              <w:right w:val="dashed" w:sz="4" w:space="0" w:color="auto"/>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p>
        </w:tc>
        <w:tc>
          <w:tcPr>
            <w:tcW w:w="1701" w:type="dxa"/>
            <w:vMerge/>
            <w:tcBorders>
              <w:left w:val="dashed" w:sz="4" w:space="0" w:color="auto"/>
              <w:bottom w:val="dashed" w:sz="4" w:space="0" w:color="auto"/>
              <w:right w:val="single" w:sz="4" w:space="0" w:color="auto"/>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p>
        </w:tc>
        <w:tc>
          <w:tcPr>
            <w:tcW w:w="2193" w:type="dxa"/>
            <w:tcBorders>
              <w:top w:val="dashed" w:sz="4" w:space="0" w:color="auto"/>
              <w:left w:val="nil"/>
              <w:bottom w:val="single" w:sz="4" w:space="0" w:color="auto"/>
              <w:right w:val="dashed" w:sz="4" w:space="0" w:color="auto"/>
            </w:tcBorders>
            <w:shd w:val="clear" w:color="auto" w:fill="auto"/>
            <w:noWrap/>
          </w:tcPr>
          <w:p w:rsidR="00C223A9" w:rsidRPr="00E911AE" w:rsidRDefault="00C223A9" w:rsidP="00E911AE">
            <w:pPr>
              <w:suppressAutoHyphens w:val="0"/>
              <w:spacing w:after="0"/>
              <w:rPr>
                <w:rFonts w:ascii="Calibri" w:hAnsi="Calibri" w:cs="Times New Roman"/>
                <w:i/>
                <w:color w:val="000000"/>
                <w:szCs w:val="22"/>
                <w:lang w:eastAsia="fr-FR"/>
              </w:rPr>
            </w:pPr>
            <w:r>
              <w:rPr>
                <w:rFonts w:ascii="Calibri" w:hAnsi="Calibri" w:cs="Times New Roman"/>
                <w:i/>
                <w:color w:val="000000"/>
                <w:szCs w:val="22"/>
                <w:lang w:eastAsia="fr-FR"/>
              </w:rPr>
              <w:t>Temps de travail, populations acariens,% de jus, sucre, acidité</w:t>
            </w:r>
          </w:p>
        </w:tc>
        <w:tc>
          <w:tcPr>
            <w:tcW w:w="1559" w:type="dxa"/>
            <w:tcBorders>
              <w:top w:val="dashed" w:sz="4" w:space="0" w:color="auto"/>
              <w:left w:val="dashed" w:sz="4" w:space="0" w:color="auto"/>
              <w:bottom w:val="single" w:sz="4" w:space="0" w:color="auto"/>
              <w:right w:val="single" w:sz="4" w:space="0" w:color="auto"/>
            </w:tcBorders>
            <w:shd w:val="clear" w:color="auto" w:fill="auto"/>
            <w:noWrap/>
          </w:tcPr>
          <w:p w:rsidR="00C223A9" w:rsidRPr="00E911AE" w:rsidRDefault="00C223A9" w:rsidP="00E911AE">
            <w:pPr>
              <w:spacing w:after="0"/>
              <w:rPr>
                <w:rFonts w:ascii="Calibri" w:hAnsi="Calibri" w:cs="Times New Roman"/>
                <w:i/>
                <w:color w:val="000000"/>
                <w:szCs w:val="22"/>
                <w:lang w:eastAsia="fr-FR"/>
              </w:rPr>
            </w:pPr>
            <w:r>
              <w:rPr>
                <w:rFonts w:ascii="Calibri" w:hAnsi="Calibri" w:cs="Times New Roman"/>
                <w:i/>
                <w:color w:val="000000"/>
                <w:szCs w:val="22"/>
                <w:lang w:eastAsia="fr-FR"/>
              </w:rPr>
              <w:t>Fichier Excel</w:t>
            </w:r>
          </w:p>
        </w:tc>
      </w:tr>
      <w:tr w:rsidR="00E911AE" w:rsidRPr="00E911AE" w:rsidTr="00E911AE">
        <w:trPr>
          <w:trHeight w:val="858"/>
        </w:trPr>
        <w:tc>
          <w:tcPr>
            <w:tcW w:w="2000" w:type="dxa"/>
            <w:tcBorders>
              <w:top w:val="single" w:sz="4" w:space="0" w:color="auto"/>
              <w:left w:val="single" w:sz="4" w:space="0" w:color="auto"/>
              <w:bottom w:val="single" w:sz="4" w:space="0" w:color="auto"/>
              <w:right w:val="nil"/>
            </w:tcBorders>
            <w:shd w:val="clear" w:color="auto" w:fill="auto"/>
            <w:noWrap/>
          </w:tcPr>
          <w:p w:rsidR="00E911AE" w:rsidRPr="00E911AE" w:rsidRDefault="00E911AE" w:rsidP="00E911AE">
            <w:pPr>
              <w:suppressAutoHyphens w:val="0"/>
              <w:spacing w:after="0"/>
              <w:rPr>
                <w:rFonts w:ascii="Calibri" w:hAnsi="Calibri" w:cs="Times New Roman"/>
                <w:color w:val="000000"/>
                <w:szCs w:val="22"/>
                <w:lang w:eastAsia="fr-FR"/>
              </w:rPr>
            </w:pPr>
            <w:r>
              <w:rPr>
                <w:rFonts w:ascii="Calibri" w:hAnsi="Calibri" w:cs="Times New Roman"/>
                <w:color w:val="000000"/>
                <w:szCs w:val="22"/>
                <w:lang w:eastAsia="fr-FR"/>
              </w:rPr>
              <w:t>AREFLEC</w:t>
            </w:r>
          </w:p>
        </w:tc>
        <w:tc>
          <w:tcPr>
            <w:tcW w:w="2126" w:type="dxa"/>
            <w:tcBorders>
              <w:top w:val="single" w:sz="4" w:space="0" w:color="auto"/>
              <w:left w:val="single" w:sz="4" w:space="0" w:color="auto"/>
              <w:bottom w:val="single" w:sz="4" w:space="0" w:color="auto"/>
              <w:right w:val="dashed" w:sz="4" w:space="0" w:color="auto"/>
            </w:tcBorders>
            <w:shd w:val="clear" w:color="auto" w:fill="auto"/>
            <w:noWrap/>
          </w:tcPr>
          <w:p w:rsidR="00E911AE" w:rsidRPr="00C223A9" w:rsidRDefault="00E911AE" w:rsidP="00E911AE">
            <w:pPr>
              <w:suppressAutoHyphens w:val="0"/>
              <w:spacing w:after="0"/>
              <w:rPr>
                <w:rFonts w:ascii="Calibri" w:hAnsi="Calibri" w:cs="Times New Roman"/>
                <w:i/>
                <w:color w:val="000000"/>
                <w:szCs w:val="22"/>
                <w:lang w:eastAsia="fr-FR"/>
              </w:rPr>
            </w:pPr>
            <w:r w:rsidRPr="00C223A9">
              <w:rPr>
                <w:rFonts w:ascii="Calibri" w:hAnsi="Calibri" w:cs="Times New Roman"/>
                <w:i/>
                <w:color w:val="000000"/>
                <w:szCs w:val="22"/>
                <w:lang w:eastAsia="fr-FR"/>
              </w:rPr>
              <w:t>Type d’intervention culturale, intrants, date, dose</w:t>
            </w:r>
            <w:r w:rsidR="00C223A9" w:rsidRPr="00C223A9">
              <w:rPr>
                <w:rFonts w:ascii="Calibri" w:hAnsi="Calibri" w:cs="Times New Roman"/>
                <w:i/>
                <w:color w:val="000000"/>
                <w:szCs w:val="22"/>
                <w:lang w:eastAsia="fr-FR"/>
              </w:rPr>
              <w:t>, matériel utilisé</w:t>
            </w:r>
          </w:p>
        </w:tc>
        <w:tc>
          <w:tcPr>
            <w:tcW w:w="1493" w:type="dxa"/>
            <w:tcBorders>
              <w:top w:val="single" w:sz="4" w:space="0" w:color="auto"/>
              <w:left w:val="dashed" w:sz="4" w:space="0" w:color="auto"/>
              <w:bottom w:val="single" w:sz="4" w:space="0" w:color="auto"/>
              <w:right w:val="single" w:sz="4" w:space="0" w:color="auto"/>
            </w:tcBorders>
            <w:shd w:val="clear" w:color="auto" w:fill="auto"/>
            <w:noWrap/>
          </w:tcPr>
          <w:p w:rsidR="00E911AE" w:rsidRPr="00C223A9" w:rsidRDefault="00E911AE" w:rsidP="00E911AE">
            <w:pPr>
              <w:suppressAutoHyphens w:val="0"/>
              <w:spacing w:after="0"/>
              <w:rPr>
                <w:rFonts w:ascii="Calibri" w:hAnsi="Calibri" w:cs="Times New Roman"/>
                <w:i/>
                <w:color w:val="000000"/>
                <w:szCs w:val="22"/>
                <w:lang w:eastAsia="fr-FR"/>
              </w:rPr>
            </w:pPr>
            <w:r w:rsidRPr="00C223A9">
              <w:rPr>
                <w:rFonts w:ascii="Calibri" w:hAnsi="Calibri" w:cs="Times New Roman"/>
                <w:i/>
                <w:color w:val="000000"/>
                <w:szCs w:val="22"/>
                <w:lang w:eastAsia="fr-FR"/>
              </w:rPr>
              <w:t>Agrosyst</w:t>
            </w:r>
          </w:p>
        </w:tc>
        <w:tc>
          <w:tcPr>
            <w:tcW w:w="2334" w:type="dxa"/>
            <w:tcBorders>
              <w:top w:val="single" w:sz="4" w:space="0" w:color="auto"/>
              <w:left w:val="nil"/>
              <w:bottom w:val="single" w:sz="4" w:space="0" w:color="auto"/>
              <w:right w:val="dashed" w:sz="4" w:space="0" w:color="auto"/>
            </w:tcBorders>
            <w:shd w:val="clear" w:color="auto" w:fill="auto"/>
            <w:noWrap/>
          </w:tcPr>
          <w:p w:rsidR="00E911AE" w:rsidRPr="00C223A9" w:rsidRDefault="00C223A9" w:rsidP="00E911AE">
            <w:pPr>
              <w:suppressAutoHyphens w:val="0"/>
              <w:spacing w:after="0"/>
              <w:rPr>
                <w:rFonts w:ascii="Calibri" w:hAnsi="Calibri" w:cs="Times New Roman"/>
                <w:i/>
                <w:color w:val="000000"/>
                <w:szCs w:val="22"/>
                <w:lang w:eastAsia="fr-FR"/>
              </w:rPr>
            </w:pPr>
            <w:r w:rsidRPr="00C223A9">
              <w:rPr>
                <w:rFonts w:ascii="Calibri" w:hAnsi="Calibri" w:cs="Times New Roman"/>
                <w:i/>
                <w:color w:val="000000"/>
                <w:szCs w:val="22"/>
                <w:lang w:eastAsia="fr-FR"/>
              </w:rPr>
              <w:t>Rendements, écarts, qualité interne des fruits</w:t>
            </w:r>
          </w:p>
        </w:tc>
        <w:tc>
          <w:tcPr>
            <w:tcW w:w="1701" w:type="dxa"/>
            <w:tcBorders>
              <w:top w:val="single" w:sz="4" w:space="0" w:color="auto"/>
              <w:left w:val="dashed" w:sz="4" w:space="0" w:color="auto"/>
              <w:bottom w:val="single" w:sz="4" w:space="0" w:color="auto"/>
              <w:right w:val="single" w:sz="4" w:space="0" w:color="auto"/>
            </w:tcBorders>
            <w:shd w:val="clear" w:color="auto" w:fill="auto"/>
            <w:noWrap/>
          </w:tcPr>
          <w:p w:rsidR="00E911AE" w:rsidRPr="00C223A9" w:rsidRDefault="00C223A9" w:rsidP="00E911AE">
            <w:pPr>
              <w:suppressAutoHyphens w:val="0"/>
              <w:spacing w:after="0"/>
              <w:rPr>
                <w:rFonts w:ascii="Calibri" w:hAnsi="Calibri" w:cs="Times New Roman"/>
                <w:i/>
                <w:color w:val="000000"/>
                <w:szCs w:val="22"/>
                <w:lang w:eastAsia="fr-FR"/>
              </w:rPr>
            </w:pPr>
            <w:r w:rsidRPr="00C223A9">
              <w:rPr>
                <w:rFonts w:ascii="Calibri" w:hAnsi="Calibri" w:cs="Times New Roman"/>
                <w:i/>
                <w:color w:val="000000"/>
                <w:szCs w:val="22"/>
                <w:lang w:eastAsia="fr-FR"/>
              </w:rPr>
              <w:t>Fichier Excel</w:t>
            </w:r>
          </w:p>
        </w:tc>
        <w:tc>
          <w:tcPr>
            <w:tcW w:w="2193" w:type="dxa"/>
            <w:tcBorders>
              <w:top w:val="single" w:sz="4" w:space="0" w:color="auto"/>
              <w:left w:val="nil"/>
              <w:bottom w:val="single" w:sz="4" w:space="0" w:color="auto"/>
              <w:right w:val="dashed" w:sz="4" w:space="0" w:color="auto"/>
            </w:tcBorders>
            <w:shd w:val="clear" w:color="auto" w:fill="auto"/>
            <w:noWrap/>
          </w:tcPr>
          <w:p w:rsidR="00E911AE" w:rsidRPr="00C223A9" w:rsidRDefault="00C223A9" w:rsidP="00E911AE">
            <w:pPr>
              <w:suppressAutoHyphens w:val="0"/>
              <w:spacing w:after="0"/>
              <w:rPr>
                <w:rFonts w:ascii="Calibri" w:hAnsi="Calibri" w:cs="Times New Roman"/>
                <w:i/>
                <w:color w:val="000000"/>
                <w:szCs w:val="22"/>
                <w:lang w:eastAsia="fr-FR"/>
              </w:rPr>
            </w:pPr>
            <w:r w:rsidRPr="00C223A9">
              <w:rPr>
                <w:rFonts w:ascii="Calibri" w:hAnsi="Calibri" w:cs="Times New Roman"/>
                <w:i/>
                <w:color w:val="000000"/>
                <w:szCs w:val="22"/>
                <w:lang w:eastAsia="fr-FR"/>
              </w:rPr>
              <w:t>IFT</w:t>
            </w:r>
          </w:p>
        </w:tc>
        <w:tc>
          <w:tcPr>
            <w:tcW w:w="1559" w:type="dxa"/>
            <w:tcBorders>
              <w:top w:val="single" w:sz="4" w:space="0" w:color="auto"/>
              <w:left w:val="dashed" w:sz="4" w:space="0" w:color="auto"/>
              <w:bottom w:val="single" w:sz="4" w:space="0" w:color="auto"/>
              <w:right w:val="single" w:sz="4" w:space="0" w:color="auto"/>
            </w:tcBorders>
            <w:shd w:val="clear" w:color="auto" w:fill="auto"/>
            <w:noWrap/>
          </w:tcPr>
          <w:p w:rsidR="00E911AE" w:rsidRPr="00C223A9" w:rsidRDefault="00C223A9" w:rsidP="00E911AE">
            <w:pPr>
              <w:spacing w:after="0"/>
              <w:rPr>
                <w:rFonts w:ascii="Calibri" w:hAnsi="Calibri" w:cs="Times New Roman"/>
                <w:i/>
                <w:color w:val="000000"/>
                <w:szCs w:val="22"/>
                <w:lang w:eastAsia="fr-FR"/>
              </w:rPr>
            </w:pPr>
            <w:r w:rsidRPr="00C223A9">
              <w:rPr>
                <w:rFonts w:ascii="Calibri" w:hAnsi="Calibri" w:cs="Times New Roman"/>
                <w:i/>
                <w:color w:val="000000"/>
                <w:szCs w:val="22"/>
                <w:lang w:eastAsia="fr-FR"/>
              </w:rPr>
              <w:t>Agrosyst</w:t>
            </w:r>
          </w:p>
        </w:tc>
      </w:tr>
      <w:tr w:rsidR="007709D5" w:rsidTr="007709D5">
        <w:trPr>
          <w:trHeight w:val="858"/>
        </w:trPr>
        <w:tc>
          <w:tcPr>
            <w:tcW w:w="2000" w:type="dxa"/>
            <w:tcBorders>
              <w:top w:val="single" w:sz="4" w:space="0" w:color="auto"/>
              <w:left w:val="single" w:sz="4" w:space="0" w:color="auto"/>
              <w:bottom w:val="single" w:sz="4" w:space="0" w:color="auto"/>
              <w:right w:val="nil"/>
            </w:tcBorders>
            <w:shd w:val="clear" w:color="auto" w:fill="auto"/>
            <w:noWrap/>
          </w:tcPr>
          <w:p w:rsidR="007709D5" w:rsidRDefault="007709D5">
            <w:pPr>
              <w:suppressAutoHyphens w:val="0"/>
              <w:spacing w:after="0"/>
              <w:rPr>
                <w:rFonts w:ascii="Calibri" w:hAnsi="Calibri" w:cs="Times New Roman"/>
                <w:color w:val="000000"/>
                <w:szCs w:val="22"/>
                <w:lang w:eastAsia="fr-FR"/>
              </w:rPr>
            </w:pPr>
            <w:r>
              <w:rPr>
                <w:rFonts w:ascii="Calibri" w:hAnsi="Calibri" w:cs="Times New Roman"/>
                <w:color w:val="000000"/>
                <w:szCs w:val="22"/>
                <w:lang w:eastAsia="fr-FR"/>
              </w:rPr>
              <w:t>Dephy expe Vigne</w:t>
            </w:r>
          </w:p>
        </w:tc>
        <w:tc>
          <w:tcPr>
            <w:tcW w:w="2126" w:type="dxa"/>
            <w:tcBorders>
              <w:top w:val="single" w:sz="4" w:space="0" w:color="auto"/>
              <w:left w:val="single" w:sz="4" w:space="0" w:color="auto"/>
              <w:bottom w:val="single" w:sz="4" w:space="0" w:color="auto"/>
              <w:right w:val="dashed" w:sz="4" w:space="0" w:color="auto"/>
            </w:tcBorders>
            <w:shd w:val="clear" w:color="auto" w:fill="auto"/>
            <w:noWrap/>
          </w:tcPr>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Intrants (dose)</w:t>
            </w:r>
          </w:p>
        </w:tc>
        <w:tc>
          <w:tcPr>
            <w:tcW w:w="1493" w:type="dxa"/>
            <w:tcBorders>
              <w:top w:val="single" w:sz="4" w:space="0" w:color="auto"/>
              <w:left w:val="dashed" w:sz="4" w:space="0" w:color="auto"/>
              <w:bottom w:val="single" w:sz="4" w:space="0" w:color="auto"/>
              <w:right w:val="single" w:sz="4" w:space="0" w:color="auto"/>
            </w:tcBorders>
            <w:shd w:val="clear" w:color="auto" w:fill="auto"/>
            <w:noWrap/>
          </w:tcPr>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Fichier Excel</w:t>
            </w:r>
          </w:p>
        </w:tc>
        <w:tc>
          <w:tcPr>
            <w:tcW w:w="2334" w:type="dxa"/>
            <w:tcBorders>
              <w:top w:val="single" w:sz="4" w:space="0" w:color="auto"/>
              <w:left w:val="nil"/>
              <w:bottom w:val="single" w:sz="4" w:space="0" w:color="auto"/>
              <w:right w:val="dashed" w:sz="4" w:space="0" w:color="auto"/>
            </w:tcBorders>
            <w:shd w:val="clear" w:color="auto" w:fill="auto"/>
            <w:noWrap/>
          </w:tcPr>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Maladies : fréquence</w:t>
            </w:r>
          </w:p>
        </w:tc>
        <w:tc>
          <w:tcPr>
            <w:tcW w:w="1701" w:type="dxa"/>
            <w:tcBorders>
              <w:top w:val="single" w:sz="4" w:space="0" w:color="auto"/>
              <w:left w:val="dashed" w:sz="4" w:space="0" w:color="auto"/>
              <w:bottom w:val="single" w:sz="4" w:space="0" w:color="auto"/>
              <w:right w:val="single" w:sz="4" w:space="0" w:color="auto"/>
            </w:tcBorders>
            <w:shd w:val="clear" w:color="auto" w:fill="auto"/>
            <w:noWrap/>
          </w:tcPr>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Fichier Excel</w:t>
            </w:r>
          </w:p>
          <w:p w:rsidR="007709D5" w:rsidRPr="007709D5" w:rsidRDefault="007709D5">
            <w:pPr>
              <w:suppressAutoHyphens w:val="0"/>
              <w:spacing w:after="0"/>
              <w:rPr>
                <w:rFonts w:ascii="Calibri" w:hAnsi="Calibri" w:cs="Times New Roman"/>
                <w:i/>
                <w:color w:val="000000"/>
                <w:szCs w:val="22"/>
                <w:lang w:eastAsia="fr-FR"/>
              </w:rPr>
            </w:pPr>
          </w:p>
        </w:tc>
        <w:tc>
          <w:tcPr>
            <w:tcW w:w="2193" w:type="dxa"/>
            <w:tcBorders>
              <w:top w:val="single" w:sz="4" w:space="0" w:color="auto"/>
              <w:left w:val="nil"/>
              <w:bottom w:val="single" w:sz="4" w:space="0" w:color="auto"/>
              <w:right w:val="dashed" w:sz="4" w:space="0" w:color="auto"/>
            </w:tcBorders>
            <w:shd w:val="clear" w:color="auto" w:fill="auto"/>
            <w:noWrap/>
          </w:tcPr>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IFT</w:t>
            </w:r>
          </w:p>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 xml:space="preserve">Coût main d’œuvre </w:t>
            </w:r>
          </w:p>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Coût intrants phytosanitaires</w:t>
            </w:r>
          </w:p>
          <w:p w:rsidR="007709D5" w:rsidRPr="007709D5" w:rsidRDefault="007709D5">
            <w:pPr>
              <w:suppressAutoHyphens w:val="0"/>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Contrôles de maturité</w:t>
            </w:r>
          </w:p>
          <w:p w:rsidR="007709D5" w:rsidRPr="007709D5" w:rsidRDefault="007709D5">
            <w:pPr>
              <w:suppressAutoHyphens w:val="0"/>
              <w:spacing w:after="0"/>
              <w:rPr>
                <w:rFonts w:ascii="Calibri" w:hAnsi="Calibri" w:cs="Times New Roman"/>
                <w:i/>
                <w:color w:val="000000"/>
                <w:szCs w:val="22"/>
                <w:lang w:eastAsia="fr-FR"/>
              </w:rPr>
            </w:pPr>
          </w:p>
        </w:tc>
        <w:tc>
          <w:tcPr>
            <w:tcW w:w="1559" w:type="dxa"/>
            <w:tcBorders>
              <w:top w:val="single" w:sz="4" w:space="0" w:color="auto"/>
              <w:left w:val="dashed" w:sz="4" w:space="0" w:color="auto"/>
              <w:bottom w:val="single" w:sz="4" w:space="0" w:color="auto"/>
              <w:right w:val="single" w:sz="4" w:space="0" w:color="auto"/>
            </w:tcBorders>
            <w:shd w:val="clear" w:color="auto" w:fill="auto"/>
            <w:noWrap/>
          </w:tcPr>
          <w:p w:rsidR="007709D5" w:rsidRPr="007709D5" w:rsidRDefault="007709D5">
            <w:pPr>
              <w:spacing w:after="0"/>
              <w:rPr>
                <w:rFonts w:ascii="Calibri" w:hAnsi="Calibri" w:cs="Times New Roman"/>
                <w:i/>
                <w:color w:val="000000"/>
                <w:szCs w:val="22"/>
                <w:lang w:eastAsia="fr-FR"/>
              </w:rPr>
            </w:pPr>
            <w:r w:rsidRPr="007709D5">
              <w:rPr>
                <w:rFonts w:ascii="Calibri" w:hAnsi="Calibri" w:cs="Times New Roman"/>
                <w:i/>
                <w:color w:val="000000"/>
                <w:szCs w:val="22"/>
                <w:lang w:eastAsia="fr-FR"/>
              </w:rPr>
              <w:t>Fichier Excel</w:t>
            </w:r>
          </w:p>
        </w:tc>
      </w:tr>
    </w:tbl>
    <w:p w:rsidR="00E911AE" w:rsidRPr="005F070D" w:rsidRDefault="00E911AE" w:rsidP="00D33B92">
      <w:pPr>
        <w:rPr>
          <w:rFonts w:cs="Times New Roman"/>
          <w:sz w:val="24"/>
          <w:lang w:eastAsia="en-US"/>
        </w:rPr>
      </w:pPr>
    </w:p>
    <w:p w:rsidR="00D33B92" w:rsidRDefault="00D33B92" w:rsidP="00D33B92">
      <w:pPr>
        <w:rPr>
          <w:rFonts w:cs="Times New Roman"/>
          <w:sz w:val="24"/>
          <w:lang w:eastAsia="en-US"/>
        </w:rPr>
      </w:pPr>
    </w:p>
    <w:p w:rsidR="00111DAC" w:rsidRPr="005F070D" w:rsidRDefault="00111DAC" w:rsidP="00D33B92">
      <w:pPr>
        <w:rPr>
          <w:rFonts w:cs="Times New Roman"/>
          <w:sz w:val="24"/>
          <w:lang w:eastAsia="en-US"/>
        </w:rPr>
      </w:pPr>
    </w:p>
    <w:p w:rsidR="00D33B92" w:rsidRPr="005F070D" w:rsidRDefault="00D33B92" w:rsidP="00D33B92">
      <w:pPr>
        <w:rPr>
          <w:rFonts w:cs="Times New Roman"/>
          <w:sz w:val="24"/>
          <w:lang w:eastAsia="en-US"/>
        </w:rPr>
      </w:pPr>
    </w:p>
    <w:p w:rsidR="00C54A72" w:rsidRDefault="00C54A72" w:rsidP="00D33B92">
      <w:pPr>
        <w:rPr>
          <w:rFonts w:cs="Times New Roman"/>
          <w:sz w:val="24"/>
          <w:lang w:eastAsia="en-US"/>
        </w:rPr>
        <w:sectPr w:rsidR="00C54A72" w:rsidSect="00E911AE">
          <w:footnotePr>
            <w:pos w:val="beneathText"/>
          </w:footnotePr>
          <w:pgSz w:w="16837" w:h="11905" w:orient="landscape"/>
          <w:pgMar w:top="1418" w:right="953" w:bottom="1418" w:left="1418" w:header="567" w:footer="720" w:gutter="0"/>
          <w:cols w:space="720"/>
          <w:titlePg/>
          <w:docGrid w:linePitch="360"/>
        </w:sectPr>
      </w:pPr>
    </w:p>
    <w:p w:rsidR="00535D4D" w:rsidRDefault="00C54A72" w:rsidP="00D33B92">
      <w:pPr>
        <w:rPr>
          <w:rFonts w:cs="Times New Roman"/>
          <w:sz w:val="24"/>
          <w:lang w:eastAsia="en-US"/>
        </w:rPr>
      </w:pPr>
      <w:r>
        <w:rPr>
          <w:rFonts w:cs="Times New Roman"/>
          <w:sz w:val="24"/>
          <w:lang w:eastAsia="en-US"/>
        </w:rPr>
        <w:lastRenderedPageBreak/>
        <w:t>Annexe 2 :</w:t>
      </w:r>
    </w:p>
    <w:p w:rsidR="00C54A72" w:rsidRDefault="00C54A72" w:rsidP="00C54A72"/>
    <w:p w:rsidR="00C54A72" w:rsidRDefault="00C54A72" w:rsidP="00C54A72">
      <w:pPr>
        <w:jc w:val="center"/>
        <w:rPr>
          <w:rFonts w:cs="Times New Roman"/>
          <w:sz w:val="24"/>
          <w:lang w:eastAsia="en-US"/>
        </w:rPr>
      </w:pPr>
      <w:r w:rsidRPr="00C54A72">
        <w:rPr>
          <w:noProof/>
          <w:lang w:eastAsia="fr-FR"/>
        </w:rPr>
        <w:drawing>
          <wp:inline distT="0" distB="0" distL="0" distR="0" wp14:anchorId="06084A01" wp14:editId="070BB8B2">
            <wp:extent cx="6810375" cy="791011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17685" cy="7918605"/>
                    </a:xfrm>
                    <a:prstGeom prst="rect">
                      <a:avLst/>
                    </a:prstGeom>
                    <a:noFill/>
                    <a:ln>
                      <a:noFill/>
                    </a:ln>
                  </pic:spPr>
                </pic:pic>
              </a:graphicData>
            </a:graphic>
          </wp:inline>
        </w:drawing>
      </w:r>
    </w:p>
    <w:p w:rsidR="00C54A72" w:rsidRDefault="00C54A72" w:rsidP="00C54A72">
      <w:pPr>
        <w:jc w:val="center"/>
        <w:rPr>
          <w:rFonts w:cs="Times New Roman"/>
          <w:sz w:val="24"/>
          <w:lang w:eastAsia="en-US"/>
        </w:rPr>
      </w:pPr>
    </w:p>
    <w:p w:rsidR="00C54A72" w:rsidRDefault="00C54A72" w:rsidP="00C54A72">
      <w:pPr>
        <w:jc w:val="center"/>
        <w:rPr>
          <w:rFonts w:cs="Times New Roman"/>
          <w:sz w:val="24"/>
          <w:lang w:eastAsia="en-US"/>
        </w:rPr>
      </w:pPr>
    </w:p>
    <w:p w:rsidR="00C54A72" w:rsidRDefault="00C54A72" w:rsidP="00C54A72">
      <w:pPr>
        <w:jc w:val="center"/>
        <w:rPr>
          <w:rFonts w:cs="Times New Roman"/>
          <w:sz w:val="24"/>
          <w:lang w:eastAsia="en-US"/>
        </w:rPr>
      </w:pPr>
    </w:p>
    <w:p w:rsidR="00C54A72" w:rsidRDefault="00C54A72" w:rsidP="00C54A72">
      <w:pPr>
        <w:jc w:val="center"/>
      </w:pPr>
      <w:r w:rsidRPr="00C54A72">
        <w:rPr>
          <w:noProof/>
          <w:lang w:eastAsia="fr-FR"/>
        </w:rPr>
        <w:lastRenderedPageBreak/>
        <w:drawing>
          <wp:inline distT="0" distB="0" distL="0" distR="0" wp14:anchorId="57981AE8" wp14:editId="014D18D1">
            <wp:extent cx="6467475" cy="91249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6442" cy="9123493"/>
                    </a:xfrm>
                    <a:prstGeom prst="rect">
                      <a:avLst/>
                    </a:prstGeom>
                    <a:noFill/>
                    <a:ln>
                      <a:noFill/>
                    </a:ln>
                  </pic:spPr>
                </pic:pic>
              </a:graphicData>
            </a:graphic>
          </wp:inline>
        </w:drawing>
      </w:r>
    </w:p>
    <w:p w:rsidR="00C54A72" w:rsidRPr="005F070D" w:rsidRDefault="00C54A72" w:rsidP="00C54A72">
      <w:pPr>
        <w:jc w:val="center"/>
        <w:rPr>
          <w:rFonts w:cs="Times New Roman"/>
          <w:sz w:val="24"/>
          <w:lang w:eastAsia="en-US"/>
        </w:rPr>
      </w:pPr>
      <w:r w:rsidRPr="00C54A72">
        <w:rPr>
          <w:noProof/>
          <w:lang w:eastAsia="fr-FR"/>
        </w:rPr>
        <w:lastRenderedPageBreak/>
        <w:drawing>
          <wp:inline distT="0" distB="0" distL="0" distR="0" wp14:anchorId="30028748" wp14:editId="6C0CA7BA">
            <wp:extent cx="6645275" cy="8014571"/>
            <wp:effectExtent l="0" t="0" r="3175"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275" cy="8014571"/>
                    </a:xfrm>
                    <a:prstGeom prst="rect">
                      <a:avLst/>
                    </a:prstGeom>
                    <a:noFill/>
                    <a:ln>
                      <a:noFill/>
                    </a:ln>
                  </pic:spPr>
                </pic:pic>
              </a:graphicData>
            </a:graphic>
          </wp:inline>
        </w:drawing>
      </w:r>
    </w:p>
    <w:sectPr w:rsidR="00C54A72" w:rsidRPr="005F070D" w:rsidSect="00C54A72">
      <w:footnotePr>
        <w:pos w:val="beneathText"/>
      </w:footnotePr>
      <w:pgSz w:w="11905" w:h="16837"/>
      <w:pgMar w:top="720" w:right="720" w:bottom="720" w:left="720"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2D3" w:rsidRDefault="008F72D3" w:rsidP="007243CC">
      <w:r>
        <w:separator/>
      </w:r>
    </w:p>
  </w:endnote>
  <w:endnote w:type="continuationSeparator" w:id="0">
    <w:p w:rsidR="008F72D3" w:rsidRDefault="008F72D3" w:rsidP="0072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BA9" w:rsidRDefault="008D6BA9" w:rsidP="002E093F">
    <w:pPr>
      <w:pStyle w:val="Pieddepage"/>
      <w:jc w:val="center"/>
    </w:pPr>
    <w:r w:rsidRPr="007639FC">
      <w:rPr>
        <w:i/>
        <w:sz w:val="20"/>
      </w:rPr>
      <w:t>D</w:t>
    </w:r>
    <w:r>
      <w:rPr>
        <w:i/>
        <w:sz w:val="20"/>
      </w:rPr>
      <w:t>EPHY EXPE</w:t>
    </w:r>
    <w:r w:rsidRPr="007639FC">
      <w:rPr>
        <w:i/>
        <w:sz w:val="20"/>
      </w:rPr>
      <w:t xml:space="preserve"> - Compte-rendu </w:t>
    </w:r>
    <w:r>
      <w:rPr>
        <w:i/>
        <w:sz w:val="20"/>
      </w:rPr>
      <w:t>technique 2015</w:t>
    </w:r>
    <w:r>
      <w:tab/>
    </w:r>
    <w:r>
      <w:tab/>
    </w:r>
    <w:r>
      <w:fldChar w:fldCharType="begin"/>
    </w:r>
    <w:r>
      <w:instrText>PAGE   \* MERGEFORMAT</w:instrText>
    </w:r>
    <w:r>
      <w:fldChar w:fldCharType="separate"/>
    </w:r>
    <w:r w:rsidR="0064188D">
      <w:rPr>
        <w:noProof/>
      </w:rPr>
      <w:t>44</w:t>
    </w:r>
    <w:r>
      <w:fldChar w:fldCharType="end"/>
    </w:r>
  </w:p>
  <w:p w:rsidR="008D6BA9" w:rsidRDefault="008D6BA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2D3" w:rsidRDefault="008F72D3" w:rsidP="007243CC">
      <w:r>
        <w:separator/>
      </w:r>
    </w:p>
  </w:footnote>
  <w:footnote w:type="continuationSeparator" w:id="0">
    <w:p w:rsidR="008F72D3" w:rsidRDefault="008F72D3" w:rsidP="00724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numFmt w:val="bullet"/>
      <w:lvlText w:val="-"/>
      <w:lvlJc w:val="left"/>
      <w:pPr>
        <w:tabs>
          <w:tab w:val="num" w:pos="360"/>
        </w:tabs>
        <w:ind w:left="360" w:hanging="360"/>
      </w:pPr>
      <w:rPr>
        <w:rFonts w:ascii="Arial" w:hAnsi="Arial" w:cs="Aria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1097125"/>
    <w:multiLevelType w:val="hybridMultilevel"/>
    <w:tmpl w:val="C9BE1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D8481F"/>
    <w:multiLevelType w:val="hybridMultilevel"/>
    <w:tmpl w:val="76D40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F00EB9"/>
    <w:multiLevelType w:val="hybridMultilevel"/>
    <w:tmpl w:val="6CA0CC60"/>
    <w:lvl w:ilvl="0" w:tplc="82569F4A">
      <w:start w:val="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F65AF6"/>
    <w:multiLevelType w:val="hybridMultilevel"/>
    <w:tmpl w:val="CCDC9CB0"/>
    <w:lvl w:ilvl="0" w:tplc="A60CB950">
      <w:start w:val="1"/>
      <w:numFmt w:val="bullet"/>
      <w:lvlText w:val=""/>
      <w:lvlJc w:val="left"/>
      <w:pPr>
        <w:tabs>
          <w:tab w:val="num" w:pos="417"/>
        </w:tabs>
        <w:ind w:left="397" w:hanging="340"/>
      </w:pPr>
      <w:rPr>
        <w:rFonts w:ascii="Symbol" w:hAnsi="Symbol" w:hint="default"/>
      </w:rPr>
    </w:lvl>
    <w:lvl w:ilvl="1" w:tplc="F09C260A">
      <w:numFmt w:val="bullet"/>
      <w:lvlText w:val="-"/>
      <w:lvlJc w:val="left"/>
      <w:pPr>
        <w:tabs>
          <w:tab w:val="num" w:pos="1440"/>
        </w:tabs>
        <w:ind w:left="1420" w:hanging="34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F487A7C"/>
    <w:multiLevelType w:val="hybridMultilevel"/>
    <w:tmpl w:val="2166904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1D7302"/>
    <w:multiLevelType w:val="hybridMultilevel"/>
    <w:tmpl w:val="8722B63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EFB2BE5"/>
    <w:multiLevelType w:val="hybridMultilevel"/>
    <w:tmpl w:val="76A409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7D44FD"/>
    <w:multiLevelType w:val="hybridMultilevel"/>
    <w:tmpl w:val="BAD03E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172E59"/>
    <w:multiLevelType w:val="hybridMultilevel"/>
    <w:tmpl w:val="92205F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57C49DD"/>
    <w:multiLevelType w:val="hybridMultilevel"/>
    <w:tmpl w:val="E10E6B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231B4D"/>
    <w:multiLevelType w:val="hybridMultilevel"/>
    <w:tmpl w:val="3E324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D2B66"/>
    <w:multiLevelType w:val="hybridMultilevel"/>
    <w:tmpl w:val="DAA0D16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C62E36"/>
    <w:multiLevelType w:val="hybridMultilevel"/>
    <w:tmpl w:val="C8C0012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4F5493"/>
    <w:multiLevelType w:val="hybridMultilevel"/>
    <w:tmpl w:val="935CA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1D2143"/>
    <w:multiLevelType w:val="hybridMultilevel"/>
    <w:tmpl w:val="43A2F7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565FE3"/>
    <w:multiLevelType w:val="hybridMultilevel"/>
    <w:tmpl w:val="C576D7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9D0123F"/>
    <w:multiLevelType w:val="hybridMultilevel"/>
    <w:tmpl w:val="B050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632E32"/>
    <w:multiLevelType w:val="hybridMultilevel"/>
    <w:tmpl w:val="C924133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0CC0EF7"/>
    <w:multiLevelType w:val="hybridMultilevel"/>
    <w:tmpl w:val="FBB01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0357CA"/>
    <w:multiLevelType w:val="hybridMultilevel"/>
    <w:tmpl w:val="10D88C18"/>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412D1518"/>
    <w:multiLevelType w:val="hybridMultilevel"/>
    <w:tmpl w:val="900210F6"/>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453A0769"/>
    <w:multiLevelType w:val="hybridMultilevel"/>
    <w:tmpl w:val="581EFE2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46C2427C"/>
    <w:multiLevelType w:val="hybridMultilevel"/>
    <w:tmpl w:val="82A8C7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73207CE"/>
    <w:multiLevelType w:val="hybridMultilevel"/>
    <w:tmpl w:val="FD9272EA"/>
    <w:lvl w:ilvl="0" w:tplc="08E6DF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F2A43EE"/>
    <w:multiLevelType w:val="hybridMultilevel"/>
    <w:tmpl w:val="62584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964AEA"/>
    <w:multiLevelType w:val="hybridMultilevel"/>
    <w:tmpl w:val="886E4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EB009D"/>
    <w:multiLevelType w:val="hybridMultilevel"/>
    <w:tmpl w:val="7572068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3691B4F"/>
    <w:multiLevelType w:val="hybridMultilevel"/>
    <w:tmpl w:val="1556E1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58AD31B8"/>
    <w:multiLevelType w:val="hybridMultilevel"/>
    <w:tmpl w:val="6C1873F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D1244F5"/>
    <w:multiLevelType w:val="hybridMultilevel"/>
    <w:tmpl w:val="801423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1A70BD7"/>
    <w:multiLevelType w:val="hybridMultilevel"/>
    <w:tmpl w:val="A1DC07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A1B5F8F"/>
    <w:multiLevelType w:val="hybridMultilevel"/>
    <w:tmpl w:val="4BEE7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B8F09BB"/>
    <w:multiLevelType w:val="hybridMultilevel"/>
    <w:tmpl w:val="873805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D2A3811"/>
    <w:multiLevelType w:val="hybridMultilevel"/>
    <w:tmpl w:val="3A66C17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nsid w:val="6DC977DC"/>
    <w:multiLevelType w:val="hybridMultilevel"/>
    <w:tmpl w:val="B47A4960"/>
    <w:lvl w:ilvl="0" w:tplc="39BC4CE0">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1A50DBD"/>
    <w:multiLevelType w:val="hybridMultilevel"/>
    <w:tmpl w:val="59B296F2"/>
    <w:lvl w:ilvl="0" w:tplc="A8CC14C6">
      <w:start w:val="1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3443E53"/>
    <w:multiLevelType w:val="hybridMultilevel"/>
    <w:tmpl w:val="8C0C16D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75D77D45"/>
    <w:multiLevelType w:val="hybridMultilevel"/>
    <w:tmpl w:val="B0927B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9186436"/>
    <w:multiLevelType w:val="hybridMultilevel"/>
    <w:tmpl w:val="922C17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CC603BB"/>
    <w:multiLevelType w:val="hybridMultilevel"/>
    <w:tmpl w:val="32646F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CEE1CF4"/>
    <w:multiLevelType w:val="hybridMultilevel"/>
    <w:tmpl w:val="3E0468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D7A008D"/>
    <w:multiLevelType w:val="hybridMultilevel"/>
    <w:tmpl w:val="925EBA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7EF8533A"/>
    <w:multiLevelType w:val="hybridMultilevel"/>
    <w:tmpl w:val="48682C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41"/>
  </w:num>
  <w:num w:numId="4">
    <w:abstractNumId w:val="25"/>
  </w:num>
  <w:num w:numId="5">
    <w:abstractNumId w:val="4"/>
  </w:num>
  <w:num w:numId="6">
    <w:abstractNumId w:val="22"/>
  </w:num>
  <w:num w:numId="7">
    <w:abstractNumId w:val="12"/>
  </w:num>
  <w:num w:numId="8">
    <w:abstractNumId w:val="26"/>
  </w:num>
  <w:num w:numId="9">
    <w:abstractNumId w:val="32"/>
  </w:num>
  <w:num w:numId="10">
    <w:abstractNumId w:val="21"/>
  </w:num>
  <w:num w:numId="11">
    <w:abstractNumId w:val="23"/>
  </w:num>
  <w:num w:numId="12">
    <w:abstractNumId w:val="5"/>
  </w:num>
  <w:num w:numId="13">
    <w:abstractNumId w:val="15"/>
  </w:num>
  <w:num w:numId="14">
    <w:abstractNumId w:val="10"/>
  </w:num>
  <w:num w:numId="15">
    <w:abstractNumId w:val="24"/>
  </w:num>
  <w:num w:numId="16">
    <w:abstractNumId w:val="34"/>
  </w:num>
  <w:num w:numId="17">
    <w:abstractNumId w:val="2"/>
  </w:num>
  <w:num w:numId="18">
    <w:abstractNumId w:val="42"/>
  </w:num>
  <w:num w:numId="19">
    <w:abstractNumId w:val="39"/>
  </w:num>
  <w:num w:numId="20">
    <w:abstractNumId w:val="38"/>
  </w:num>
  <w:num w:numId="21">
    <w:abstractNumId w:val="35"/>
  </w:num>
  <w:num w:numId="22">
    <w:abstractNumId w:val="31"/>
  </w:num>
  <w:num w:numId="23">
    <w:abstractNumId w:val="16"/>
  </w:num>
  <w:num w:numId="24">
    <w:abstractNumId w:val="8"/>
  </w:num>
  <w:num w:numId="25">
    <w:abstractNumId w:val="9"/>
  </w:num>
  <w:num w:numId="26">
    <w:abstractNumId w:val="11"/>
  </w:num>
  <w:num w:numId="27">
    <w:abstractNumId w:val="19"/>
  </w:num>
  <w:num w:numId="28">
    <w:abstractNumId w:val="33"/>
  </w:num>
  <w:num w:numId="29">
    <w:abstractNumId w:val="17"/>
  </w:num>
  <w:num w:numId="30">
    <w:abstractNumId w:val="28"/>
  </w:num>
  <w:num w:numId="31">
    <w:abstractNumId w:val="36"/>
  </w:num>
  <w:num w:numId="32">
    <w:abstractNumId w:val="7"/>
  </w:num>
  <w:num w:numId="33">
    <w:abstractNumId w:val="14"/>
  </w:num>
  <w:num w:numId="34">
    <w:abstractNumId w:val="30"/>
  </w:num>
  <w:num w:numId="35">
    <w:abstractNumId w:val="13"/>
  </w:num>
  <w:num w:numId="36">
    <w:abstractNumId w:val="44"/>
  </w:num>
  <w:num w:numId="37">
    <w:abstractNumId w:val="20"/>
  </w:num>
  <w:num w:numId="38">
    <w:abstractNumId w:val="27"/>
  </w:num>
  <w:num w:numId="39">
    <w:abstractNumId w:val="37"/>
  </w:num>
  <w:num w:numId="40">
    <w:abstractNumId w:val="40"/>
  </w:num>
  <w:num w:numId="41">
    <w:abstractNumId w:val="6"/>
  </w:num>
  <w:num w:numId="42">
    <w:abstractNumId w:val="44"/>
  </w:num>
  <w:num w:numId="43">
    <w:abstractNumId w:val="18"/>
  </w:num>
  <w:num w:numId="44">
    <w:abstractNumId w:val="33"/>
  </w:num>
  <w:num w:numId="45">
    <w:abstractNumId w:val="43"/>
  </w:num>
  <w:num w:numId="46">
    <w:abstractNumId w:val="29"/>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88"/>
    <w:rsid w:val="00000A11"/>
    <w:rsid w:val="000025C1"/>
    <w:rsid w:val="00005CF2"/>
    <w:rsid w:val="0001405D"/>
    <w:rsid w:val="00017D4F"/>
    <w:rsid w:val="00021693"/>
    <w:rsid w:val="00025310"/>
    <w:rsid w:val="00027DB8"/>
    <w:rsid w:val="00030B3C"/>
    <w:rsid w:val="00031657"/>
    <w:rsid w:val="00041FF8"/>
    <w:rsid w:val="00042E3F"/>
    <w:rsid w:val="00050982"/>
    <w:rsid w:val="00051D60"/>
    <w:rsid w:val="00052038"/>
    <w:rsid w:val="00052457"/>
    <w:rsid w:val="0005259B"/>
    <w:rsid w:val="000529E7"/>
    <w:rsid w:val="000568A6"/>
    <w:rsid w:val="00061197"/>
    <w:rsid w:val="00065863"/>
    <w:rsid w:val="00076064"/>
    <w:rsid w:val="00077B2C"/>
    <w:rsid w:val="00081F59"/>
    <w:rsid w:val="000824F8"/>
    <w:rsid w:val="000902B3"/>
    <w:rsid w:val="00090A49"/>
    <w:rsid w:val="000919E3"/>
    <w:rsid w:val="0009377A"/>
    <w:rsid w:val="00093982"/>
    <w:rsid w:val="00096441"/>
    <w:rsid w:val="00096FD2"/>
    <w:rsid w:val="000A14C5"/>
    <w:rsid w:val="000A71EC"/>
    <w:rsid w:val="000B3003"/>
    <w:rsid w:val="000C06AB"/>
    <w:rsid w:val="000C0724"/>
    <w:rsid w:val="000C08B4"/>
    <w:rsid w:val="000C64BA"/>
    <w:rsid w:val="000D155B"/>
    <w:rsid w:val="000D1B29"/>
    <w:rsid w:val="000D3ABA"/>
    <w:rsid w:val="000D48EC"/>
    <w:rsid w:val="000D4BC1"/>
    <w:rsid w:val="000E3DF7"/>
    <w:rsid w:val="000F153A"/>
    <w:rsid w:val="000F1A98"/>
    <w:rsid w:val="000F45AE"/>
    <w:rsid w:val="000F6901"/>
    <w:rsid w:val="000F72FD"/>
    <w:rsid w:val="00102AFD"/>
    <w:rsid w:val="00104E43"/>
    <w:rsid w:val="00111DAC"/>
    <w:rsid w:val="0011355C"/>
    <w:rsid w:val="001137BA"/>
    <w:rsid w:val="001154DC"/>
    <w:rsid w:val="00115C6E"/>
    <w:rsid w:val="00120D21"/>
    <w:rsid w:val="001210D9"/>
    <w:rsid w:val="001212AE"/>
    <w:rsid w:val="00122E90"/>
    <w:rsid w:val="001230F3"/>
    <w:rsid w:val="00126655"/>
    <w:rsid w:val="00131A80"/>
    <w:rsid w:val="00131EE1"/>
    <w:rsid w:val="00132F7B"/>
    <w:rsid w:val="001339A7"/>
    <w:rsid w:val="00136656"/>
    <w:rsid w:val="00140E2F"/>
    <w:rsid w:val="00141F3E"/>
    <w:rsid w:val="001427E0"/>
    <w:rsid w:val="0015035A"/>
    <w:rsid w:val="00155094"/>
    <w:rsid w:val="001561AA"/>
    <w:rsid w:val="00165DD6"/>
    <w:rsid w:val="0017170E"/>
    <w:rsid w:val="00173590"/>
    <w:rsid w:val="001742B8"/>
    <w:rsid w:val="001749AE"/>
    <w:rsid w:val="00175540"/>
    <w:rsid w:val="00180E93"/>
    <w:rsid w:val="001821A3"/>
    <w:rsid w:val="00182383"/>
    <w:rsid w:val="00184A6D"/>
    <w:rsid w:val="001902DA"/>
    <w:rsid w:val="00190BEC"/>
    <w:rsid w:val="00196B94"/>
    <w:rsid w:val="001B0DD6"/>
    <w:rsid w:val="001B1A7D"/>
    <w:rsid w:val="001B1F75"/>
    <w:rsid w:val="001B4E10"/>
    <w:rsid w:val="001B5E51"/>
    <w:rsid w:val="001C7828"/>
    <w:rsid w:val="001D27ED"/>
    <w:rsid w:val="001D7E22"/>
    <w:rsid w:val="001D7F20"/>
    <w:rsid w:val="001E07E2"/>
    <w:rsid w:val="001F1383"/>
    <w:rsid w:val="001F4059"/>
    <w:rsid w:val="001F64CD"/>
    <w:rsid w:val="002059C0"/>
    <w:rsid w:val="00213C65"/>
    <w:rsid w:val="00214050"/>
    <w:rsid w:val="00216099"/>
    <w:rsid w:val="00224E32"/>
    <w:rsid w:val="00226230"/>
    <w:rsid w:val="00226643"/>
    <w:rsid w:val="00230B6F"/>
    <w:rsid w:val="00232528"/>
    <w:rsid w:val="0023373D"/>
    <w:rsid w:val="00235CD5"/>
    <w:rsid w:val="00242F1D"/>
    <w:rsid w:val="0024712F"/>
    <w:rsid w:val="00247650"/>
    <w:rsid w:val="00252D68"/>
    <w:rsid w:val="002568F0"/>
    <w:rsid w:val="0025732F"/>
    <w:rsid w:val="00263587"/>
    <w:rsid w:val="00265531"/>
    <w:rsid w:val="002657EA"/>
    <w:rsid w:val="00270067"/>
    <w:rsid w:val="00275876"/>
    <w:rsid w:val="00276050"/>
    <w:rsid w:val="002764DE"/>
    <w:rsid w:val="00281B9F"/>
    <w:rsid w:val="0028222E"/>
    <w:rsid w:val="00286431"/>
    <w:rsid w:val="00295F21"/>
    <w:rsid w:val="00297310"/>
    <w:rsid w:val="002A11E2"/>
    <w:rsid w:val="002A1C2A"/>
    <w:rsid w:val="002A3B0E"/>
    <w:rsid w:val="002B19F8"/>
    <w:rsid w:val="002B1DE0"/>
    <w:rsid w:val="002B34C6"/>
    <w:rsid w:val="002C60EB"/>
    <w:rsid w:val="002D1677"/>
    <w:rsid w:val="002D6DEC"/>
    <w:rsid w:val="002D7503"/>
    <w:rsid w:val="002E093F"/>
    <w:rsid w:val="002E17FD"/>
    <w:rsid w:val="002E2158"/>
    <w:rsid w:val="002E30DB"/>
    <w:rsid w:val="002E3ABA"/>
    <w:rsid w:val="002E5BB2"/>
    <w:rsid w:val="002F0ED0"/>
    <w:rsid w:val="002F10ED"/>
    <w:rsid w:val="002F1E72"/>
    <w:rsid w:val="002F2786"/>
    <w:rsid w:val="002F43E4"/>
    <w:rsid w:val="002F5345"/>
    <w:rsid w:val="0030628E"/>
    <w:rsid w:val="00312C1C"/>
    <w:rsid w:val="00314300"/>
    <w:rsid w:val="00314AF7"/>
    <w:rsid w:val="00320054"/>
    <w:rsid w:val="003231A6"/>
    <w:rsid w:val="003323DA"/>
    <w:rsid w:val="00334812"/>
    <w:rsid w:val="003375D7"/>
    <w:rsid w:val="003404A4"/>
    <w:rsid w:val="00350821"/>
    <w:rsid w:val="00355202"/>
    <w:rsid w:val="00357BC6"/>
    <w:rsid w:val="00363871"/>
    <w:rsid w:val="0036599A"/>
    <w:rsid w:val="00366F87"/>
    <w:rsid w:val="0037478D"/>
    <w:rsid w:val="003921EB"/>
    <w:rsid w:val="003A40A0"/>
    <w:rsid w:val="003A4677"/>
    <w:rsid w:val="003A5DC7"/>
    <w:rsid w:val="003B0E7C"/>
    <w:rsid w:val="003B4FAB"/>
    <w:rsid w:val="003C048F"/>
    <w:rsid w:val="003C33F0"/>
    <w:rsid w:val="003D1A63"/>
    <w:rsid w:val="003D6951"/>
    <w:rsid w:val="003E457B"/>
    <w:rsid w:val="003E699B"/>
    <w:rsid w:val="003F3EA1"/>
    <w:rsid w:val="003F6714"/>
    <w:rsid w:val="003F6CC4"/>
    <w:rsid w:val="003F7B7B"/>
    <w:rsid w:val="00401DAC"/>
    <w:rsid w:val="00402121"/>
    <w:rsid w:val="004031D4"/>
    <w:rsid w:val="0040541E"/>
    <w:rsid w:val="0040739B"/>
    <w:rsid w:val="0041096D"/>
    <w:rsid w:val="00411EAF"/>
    <w:rsid w:val="00413066"/>
    <w:rsid w:val="004137CF"/>
    <w:rsid w:val="004169C3"/>
    <w:rsid w:val="004228C8"/>
    <w:rsid w:val="00422F2D"/>
    <w:rsid w:val="00426F0D"/>
    <w:rsid w:val="00431ECC"/>
    <w:rsid w:val="00441D25"/>
    <w:rsid w:val="00450393"/>
    <w:rsid w:val="00461091"/>
    <w:rsid w:val="004636A9"/>
    <w:rsid w:val="0046606C"/>
    <w:rsid w:val="004678DD"/>
    <w:rsid w:val="00471B4B"/>
    <w:rsid w:val="00471CA5"/>
    <w:rsid w:val="00472B18"/>
    <w:rsid w:val="004741BE"/>
    <w:rsid w:val="004756E8"/>
    <w:rsid w:val="00476897"/>
    <w:rsid w:val="00477130"/>
    <w:rsid w:val="00482D57"/>
    <w:rsid w:val="004878B5"/>
    <w:rsid w:val="00491835"/>
    <w:rsid w:val="00492628"/>
    <w:rsid w:val="00496F4E"/>
    <w:rsid w:val="004A1E8E"/>
    <w:rsid w:val="004A53E3"/>
    <w:rsid w:val="004A5E0B"/>
    <w:rsid w:val="004A771B"/>
    <w:rsid w:val="004B584E"/>
    <w:rsid w:val="004C360C"/>
    <w:rsid w:val="004C5380"/>
    <w:rsid w:val="004D445B"/>
    <w:rsid w:val="004D46F9"/>
    <w:rsid w:val="004D62A0"/>
    <w:rsid w:val="004E17D1"/>
    <w:rsid w:val="004E27D0"/>
    <w:rsid w:val="004E5615"/>
    <w:rsid w:val="004E5761"/>
    <w:rsid w:val="004E6B44"/>
    <w:rsid w:val="004F1EBC"/>
    <w:rsid w:val="004F4B1E"/>
    <w:rsid w:val="00511FC8"/>
    <w:rsid w:val="00517B45"/>
    <w:rsid w:val="005209D8"/>
    <w:rsid w:val="005215B2"/>
    <w:rsid w:val="00524D83"/>
    <w:rsid w:val="00525000"/>
    <w:rsid w:val="00527587"/>
    <w:rsid w:val="00531806"/>
    <w:rsid w:val="00531CE2"/>
    <w:rsid w:val="005342FE"/>
    <w:rsid w:val="00535D4D"/>
    <w:rsid w:val="00537165"/>
    <w:rsid w:val="0054367E"/>
    <w:rsid w:val="005564BF"/>
    <w:rsid w:val="005564C9"/>
    <w:rsid w:val="00556AA6"/>
    <w:rsid w:val="0055715F"/>
    <w:rsid w:val="00557208"/>
    <w:rsid w:val="00561EF1"/>
    <w:rsid w:val="00561FB3"/>
    <w:rsid w:val="0056291B"/>
    <w:rsid w:val="005634FC"/>
    <w:rsid w:val="00564A17"/>
    <w:rsid w:val="005801E1"/>
    <w:rsid w:val="00580B5B"/>
    <w:rsid w:val="005856A0"/>
    <w:rsid w:val="005B7DFE"/>
    <w:rsid w:val="005C11A8"/>
    <w:rsid w:val="005C51DD"/>
    <w:rsid w:val="005E0E8A"/>
    <w:rsid w:val="005E4818"/>
    <w:rsid w:val="005E7F7D"/>
    <w:rsid w:val="005F0065"/>
    <w:rsid w:val="005F070D"/>
    <w:rsid w:val="005F3EEC"/>
    <w:rsid w:val="005F4412"/>
    <w:rsid w:val="005F49EE"/>
    <w:rsid w:val="005F6657"/>
    <w:rsid w:val="005F6DAC"/>
    <w:rsid w:val="00601F0C"/>
    <w:rsid w:val="00605D75"/>
    <w:rsid w:val="00610E7C"/>
    <w:rsid w:val="006130CF"/>
    <w:rsid w:val="00620FEC"/>
    <w:rsid w:val="006223BF"/>
    <w:rsid w:val="00623390"/>
    <w:rsid w:val="00625A55"/>
    <w:rsid w:val="00626A4E"/>
    <w:rsid w:val="0063107D"/>
    <w:rsid w:val="006311B8"/>
    <w:rsid w:val="0063363B"/>
    <w:rsid w:val="00633C79"/>
    <w:rsid w:val="00635BC3"/>
    <w:rsid w:val="0063660E"/>
    <w:rsid w:val="00641166"/>
    <w:rsid w:val="00641664"/>
    <w:rsid w:val="0064188D"/>
    <w:rsid w:val="0064254D"/>
    <w:rsid w:val="00647E35"/>
    <w:rsid w:val="006504CD"/>
    <w:rsid w:val="006509DF"/>
    <w:rsid w:val="00653031"/>
    <w:rsid w:val="00657D81"/>
    <w:rsid w:val="00663650"/>
    <w:rsid w:val="00665F74"/>
    <w:rsid w:val="0066651A"/>
    <w:rsid w:val="00666FE3"/>
    <w:rsid w:val="006678DD"/>
    <w:rsid w:val="00670195"/>
    <w:rsid w:val="00670ACC"/>
    <w:rsid w:val="00674AF5"/>
    <w:rsid w:val="00682F96"/>
    <w:rsid w:val="00687474"/>
    <w:rsid w:val="00693A46"/>
    <w:rsid w:val="006960A1"/>
    <w:rsid w:val="0069634A"/>
    <w:rsid w:val="006967EC"/>
    <w:rsid w:val="00696982"/>
    <w:rsid w:val="006B6927"/>
    <w:rsid w:val="006C0F15"/>
    <w:rsid w:val="006C6D0F"/>
    <w:rsid w:val="006D0E78"/>
    <w:rsid w:val="006D398A"/>
    <w:rsid w:val="006E0339"/>
    <w:rsid w:val="006E2A61"/>
    <w:rsid w:val="006E4631"/>
    <w:rsid w:val="006E6950"/>
    <w:rsid w:val="006F6EB5"/>
    <w:rsid w:val="0070257A"/>
    <w:rsid w:val="00704861"/>
    <w:rsid w:val="00705791"/>
    <w:rsid w:val="00707F32"/>
    <w:rsid w:val="00712CF6"/>
    <w:rsid w:val="00714786"/>
    <w:rsid w:val="00714BB8"/>
    <w:rsid w:val="00717E31"/>
    <w:rsid w:val="0072290E"/>
    <w:rsid w:val="007243CC"/>
    <w:rsid w:val="00725A65"/>
    <w:rsid w:val="00731DD1"/>
    <w:rsid w:val="00732D59"/>
    <w:rsid w:val="007352FB"/>
    <w:rsid w:val="00735BC0"/>
    <w:rsid w:val="007406F2"/>
    <w:rsid w:val="007458F9"/>
    <w:rsid w:val="00746502"/>
    <w:rsid w:val="0074755B"/>
    <w:rsid w:val="007479AE"/>
    <w:rsid w:val="0075251D"/>
    <w:rsid w:val="0075352C"/>
    <w:rsid w:val="00754A0F"/>
    <w:rsid w:val="007639FC"/>
    <w:rsid w:val="00763B9E"/>
    <w:rsid w:val="007709D5"/>
    <w:rsid w:val="007713D3"/>
    <w:rsid w:val="00772591"/>
    <w:rsid w:val="00773074"/>
    <w:rsid w:val="00783114"/>
    <w:rsid w:val="00783590"/>
    <w:rsid w:val="00784F2E"/>
    <w:rsid w:val="00790627"/>
    <w:rsid w:val="007907E0"/>
    <w:rsid w:val="007A222C"/>
    <w:rsid w:val="007A6576"/>
    <w:rsid w:val="007A72FC"/>
    <w:rsid w:val="007B16C5"/>
    <w:rsid w:val="007B263F"/>
    <w:rsid w:val="007B26E8"/>
    <w:rsid w:val="007B47DF"/>
    <w:rsid w:val="007B60EF"/>
    <w:rsid w:val="007B6991"/>
    <w:rsid w:val="007C1E55"/>
    <w:rsid w:val="007C34B9"/>
    <w:rsid w:val="007C4788"/>
    <w:rsid w:val="007C7DC1"/>
    <w:rsid w:val="007D4D45"/>
    <w:rsid w:val="007D6EBE"/>
    <w:rsid w:val="007D7246"/>
    <w:rsid w:val="007D72A2"/>
    <w:rsid w:val="007D779F"/>
    <w:rsid w:val="007D7981"/>
    <w:rsid w:val="007E09BB"/>
    <w:rsid w:val="007E0BCF"/>
    <w:rsid w:val="007E1A7F"/>
    <w:rsid w:val="007E2FE4"/>
    <w:rsid w:val="007E3F22"/>
    <w:rsid w:val="007E5E5C"/>
    <w:rsid w:val="007F21E3"/>
    <w:rsid w:val="007F3308"/>
    <w:rsid w:val="007F39FB"/>
    <w:rsid w:val="007F5C2C"/>
    <w:rsid w:val="007F5D9F"/>
    <w:rsid w:val="0080062C"/>
    <w:rsid w:val="00801E87"/>
    <w:rsid w:val="00802DA2"/>
    <w:rsid w:val="0080353A"/>
    <w:rsid w:val="00805EA1"/>
    <w:rsid w:val="008107AA"/>
    <w:rsid w:val="00810849"/>
    <w:rsid w:val="0081124A"/>
    <w:rsid w:val="008151F2"/>
    <w:rsid w:val="008172DF"/>
    <w:rsid w:val="00817D19"/>
    <w:rsid w:val="00817FAF"/>
    <w:rsid w:val="00820C31"/>
    <w:rsid w:val="00824DBD"/>
    <w:rsid w:val="00825A0D"/>
    <w:rsid w:val="00827865"/>
    <w:rsid w:val="00827897"/>
    <w:rsid w:val="008300DA"/>
    <w:rsid w:val="008321A9"/>
    <w:rsid w:val="00834264"/>
    <w:rsid w:val="008420EC"/>
    <w:rsid w:val="00851463"/>
    <w:rsid w:val="00854390"/>
    <w:rsid w:val="00855F6A"/>
    <w:rsid w:val="008564B0"/>
    <w:rsid w:val="00860414"/>
    <w:rsid w:val="008638DB"/>
    <w:rsid w:val="008647B9"/>
    <w:rsid w:val="00865688"/>
    <w:rsid w:val="008656B1"/>
    <w:rsid w:val="00866F6D"/>
    <w:rsid w:val="00872116"/>
    <w:rsid w:val="00873BB7"/>
    <w:rsid w:val="0087582A"/>
    <w:rsid w:val="008837AF"/>
    <w:rsid w:val="008843B8"/>
    <w:rsid w:val="00885F5E"/>
    <w:rsid w:val="008904F6"/>
    <w:rsid w:val="00892C3F"/>
    <w:rsid w:val="00894E8A"/>
    <w:rsid w:val="008955FA"/>
    <w:rsid w:val="0089563C"/>
    <w:rsid w:val="00895833"/>
    <w:rsid w:val="00895A11"/>
    <w:rsid w:val="008B2ECC"/>
    <w:rsid w:val="008B41FB"/>
    <w:rsid w:val="008C236A"/>
    <w:rsid w:val="008C33CC"/>
    <w:rsid w:val="008C354D"/>
    <w:rsid w:val="008C5A85"/>
    <w:rsid w:val="008C6B23"/>
    <w:rsid w:val="008D28BC"/>
    <w:rsid w:val="008D488E"/>
    <w:rsid w:val="008D657D"/>
    <w:rsid w:val="008D6BA9"/>
    <w:rsid w:val="008E0CEB"/>
    <w:rsid w:val="008E22B6"/>
    <w:rsid w:val="008E541E"/>
    <w:rsid w:val="008E7BF2"/>
    <w:rsid w:val="008F0522"/>
    <w:rsid w:val="008F3762"/>
    <w:rsid w:val="008F4D3D"/>
    <w:rsid w:val="008F61C9"/>
    <w:rsid w:val="008F72D3"/>
    <w:rsid w:val="00901111"/>
    <w:rsid w:val="00907260"/>
    <w:rsid w:val="00914FE7"/>
    <w:rsid w:val="00924D63"/>
    <w:rsid w:val="009254A8"/>
    <w:rsid w:val="00927D96"/>
    <w:rsid w:val="009312EF"/>
    <w:rsid w:val="009313A9"/>
    <w:rsid w:val="009319AE"/>
    <w:rsid w:val="00932B3E"/>
    <w:rsid w:val="00936480"/>
    <w:rsid w:val="009429D2"/>
    <w:rsid w:val="00944106"/>
    <w:rsid w:val="00961A02"/>
    <w:rsid w:val="00964C30"/>
    <w:rsid w:val="00966A86"/>
    <w:rsid w:val="00966AD1"/>
    <w:rsid w:val="00970FCB"/>
    <w:rsid w:val="00972EEF"/>
    <w:rsid w:val="00973FEC"/>
    <w:rsid w:val="00975645"/>
    <w:rsid w:val="00975AE2"/>
    <w:rsid w:val="00977199"/>
    <w:rsid w:val="00980372"/>
    <w:rsid w:val="00980884"/>
    <w:rsid w:val="00986F97"/>
    <w:rsid w:val="00996E76"/>
    <w:rsid w:val="009B081B"/>
    <w:rsid w:val="009B1FE1"/>
    <w:rsid w:val="009B7EB1"/>
    <w:rsid w:val="009C52B3"/>
    <w:rsid w:val="009C6197"/>
    <w:rsid w:val="009C7FE8"/>
    <w:rsid w:val="009D145F"/>
    <w:rsid w:val="009D227A"/>
    <w:rsid w:val="009E34DB"/>
    <w:rsid w:val="009E3938"/>
    <w:rsid w:val="009E77C3"/>
    <w:rsid w:val="009E7D21"/>
    <w:rsid w:val="009F0A50"/>
    <w:rsid w:val="009F4AE3"/>
    <w:rsid w:val="00A067E3"/>
    <w:rsid w:val="00A2087B"/>
    <w:rsid w:val="00A265EB"/>
    <w:rsid w:val="00A335A0"/>
    <w:rsid w:val="00A37466"/>
    <w:rsid w:val="00A43869"/>
    <w:rsid w:val="00A460DA"/>
    <w:rsid w:val="00A7431F"/>
    <w:rsid w:val="00A8135A"/>
    <w:rsid w:val="00A8335B"/>
    <w:rsid w:val="00A83E6F"/>
    <w:rsid w:val="00A846D0"/>
    <w:rsid w:val="00A97E20"/>
    <w:rsid w:val="00AA0778"/>
    <w:rsid w:val="00AA08B8"/>
    <w:rsid w:val="00AA0B17"/>
    <w:rsid w:val="00AB32CC"/>
    <w:rsid w:val="00AC03C8"/>
    <w:rsid w:val="00AC06B6"/>
    <w:rsid w:val="00AC42AF"/>
    <w:rsid w:val="00AD012C"/>
    <w:rsid w:val="00AD5DF8"/>
    <w:rsid w:val="00AD77B3"/>
    <w:rsid w:val="00AE2CF7"/>
    <w:rsid w:val="00AE3595"/>
    <w:rsid w:val="00AE6F46"/>
    <w:rsid w:val="00AE7806"/>
    <w:rsid w:val="00AF2683"/>
    <w:rsid w:val="00B0010C"/>
    <w:rsid w:val="00B00AE6"/>
    <w:rsid w:val="00B03003"/>
    <w:rsid w:val="00B0367D"/>
    <w:rsid w:val="00B0433C"/>
    <w:rsid w:val="00B05206"/>
    <w:rsid w:val="00B142B3"/>
    <w:rsid w:val="00B218EA"/>
    <w:rsid w:val="00B23285"/>
    <w:rsid w:val="00B31085"/>
    <w:rsid w:val="00B31A96"/>
    <w:rsid w:val="00B3667D"/>
    <w:rsid w:val="00B45326"/>
    <w:rsid w:val="00B54B78"/>
    <w:rsid w:val="00B60968"/>
    <w:rsid w:val="00B661B4"/>
    <w:rsid w:val="00B72D81"/>
    <w:rsid w:val="00B73E30"/>
    <w:rsid w:val="00B74876"/>
    <w:rsid w:val="00B7708D"/>
    <w:rsid w:val="00B80597"/>
    <w:rsid w:val="00B82B9C"/>
    <w:rsid w:val="00B85508"/>
    <w:rsid w:val="00B93E93"/>
    <w:rsid w:val="00B95F2A"/>
    <w:rsid w:val="00B97955"/>
    <w:rsid w:val="00B97AA2"/>
    <w:rsid w:val="00BB0FA0"/>
    <w:rsid w:val="00BC0A40"/>
    <w:rsid w:val="00BD61AC"/>
    <w:rsid w:val="00BD637C"/>
    <w:rsid w:val="00BD7581"/>
    <w:rsid w:val="00BE0293"/>
    <w:rsid w:val="00BE0E16"/>
    <w:rsid w:val="00BE4F56"/>
    <w:rsid w:val="00BE52D8"/>
    <w:rsid w:val="00BF22FC"/>
    <w:rsid w:val="00C03321"/>
    <w:rsid w:val="00C056D6"/>
    <w:rsid w:val="00C11254"/>
    <w:rsid w:val="00C137AD"/>
    <w:rsid w:val="00C15A00"/>
    <w:rsid w:val="00C209CB"/>
    <w:rsid w:val="00C21B3A"/>
    <w:rsid w:val="00C223A9"/>
    <w:rsid w:val="00C244A5"/>
    <w:rsid w:val="00C27501"/>
    <w:rsid w:val="00C45D93"/>
    <w:rsid w:val="00C461F7"/>
    <w:rsid w:val="00C46BBE"/>
    <w:rsid w:val="00C500F9"/>
    <w:rsid w:val="00C5118E"/>
    <w:rsid w:val="00C51A08"/>
    <w:rsid w:val="00C51BDC"/>
    <w:rsid w:val="00C52146"/>
    <w:rsid w:val="00C52ADD"/>
    <w:rsid w:val="00C53E96"/>
    <w:rsid w:val="00C54A72"/>
    <w:rsid w:val="00C64F97"/>
    <w:rsid w:val="00C66E84"/>
    <w:rsid w:val="00C67D9A"/>
    <w:rsid w:val="00C71166"/>
    <w:rsid w:val="00C71AE7"/>
    <w:rsid w:val="00C7399C"/>
    <w:rsid w:val="00C8077D"/>
    <w:rsid w:val="00C8774E"/>
    <w:rsid w:val="00C87BF8"/>
    <w:rsid w:val="00C932F3"/>
    <w:rsid w:val="00CA101B"/>
    <w:rsid w:val="00CA1C50"/>
    <w:rsid w:val="00CA5EC6"/>
    <w:rsid w:val="00CA7105"/>
    <w:rsid w:val="00CB4D90"/>
    <w:rsid w:val="00CB5444"/>
    <w:rsid w:val="00CC2CBA"/>
    <w:rsid w:val="00CD0140"/>
    <w:rsid w:val="00CD0AC5"/>
    <w:rsid w:val="00CD3643"/>
    <w:rsid w:val="00CD408F"/>
    <w:rsid w:val="00CD40F5"/>
    <w:rsid w:val="00CE0AE4"/>
    <w:rsid w:val="00CE2B5F"/>
    <w:rsid w:val="00CE2C8D"/>
    <w:rsid w:val="00CE5C78"/>
    <w:rsid w:val="00CE706F"/>
    <w:rsid w:val="00CE7294"/>
    <w:rsid w:val="00CF27D8"/>
    <w:rsid w:val="00CF2AD6"/>
    <w:rsid w:val="00CF3611"/>
    <w:rsid w:val="00D01783"/>
    <w:rsid w:val="00D115EB"/>
    <w:rsid w:val="00D124F2"/>
    <w:rsid w:val="00D12E2C"/>
    <w:rsid w:val="00D14FD6"/>
    <w:rsid w:val="00D15614"/>
    <w:rsid w:val="00D245A7"/>
    <w:rsid w:val="00D25264"/>
    <w:rsid w:val="00D25BFF"/>
    <w:rsid w:val="00D33B92"/>
    <w:rsid w:val="00D3456B"/>
    <w:rsid w:val="00D35184"/>
    <w:rsid w:val="00D37B67"/>
    <w:rsid w:val="00D418E3"/>
    <w:rsid w:val="00D42F1D"/>
    <w:rsid w:val="00D54443"/>
    <w:rsid w:val="00D61EE6"/>
    <w:rsid w:val="00D71E3F"/>
    <w:rsid w:val="00D71EF4"/>
    <w:rsid w:val="00D755D4"/>
    <w:rsid w:val="00D8214D"/>
    <w:rsid w:val="00D91B6C"/>
    <w:rsid w:val="00D92A2B"/>
    <w:rsid w:val="00D97CF8"/>
    <w:rsid w:val="00DA0A65"/>
    <w:rsid w:val="00DA162F"/>
    <w:rsid w:val="00DA23D2"/>
    <w:rsid w:val="00DA2B09"/>
    <w:rsid w:val="00DA4043"/>
    <w:rsid w:val="00DA48DD"/>
    <w:rsid w:val="00DB2189"/>
    <w:rsid w:val="00DB366F"/>
    <w:rsid w:val="00DC3CCE"/>
    <w:rsid w:val="00DC6095"/>
    <w:rsid w:val="00DD15DC"/>
    <w:rsid w:val="00DD548A"/>
    <w:rsid w:val="00DD6B47"/>
    <w:rsid w:val="00DD75A2"/>
    <w:rsid w:val="00DE2470"/>
    <w:rsid w:val="00DE3336"/>
    <w:rsid w:val="00DE4A4D"/>
    <w:rsid w:val="00DE4B63"/>
    <w:rsid w:val="00DF0131"/>
    <w:rsid w:val="00DF1BA6"/>
    <w:rsid w:val="00DF3899"/>
    <w:rsid w:val="00E01A38"/>
    <w:rsid w:val="00E02C4A"/>
    <w:rsid w:val="00E1408C"/>
    <w:rsid w:val="00E31126"/>
    <w:rsid w:val="00E339C9"/>
    <w:rsid w:val="00E357A7"/>
    <w:rsid w:val="00E41AF5"/>
    <w:rsid w:val="00E44FEE"/>
    <w:rsid w:val="00E4691B"/>
    <w:rsid w:val="00E5141C"/>
    <w:rsid w:val="00E52678"/>
    <w:rsid w:val="00E559E3"/>
    <w:rsid w:val="00E629B6"/>
    <w:rsid w:val="00E636CC"/>
    <w:rsid w:val="00E6786D"/>
    <w:rsid w:val="00E70A25"/>
    <w:rsid w:val="00E7464B"/>
    <w:rsid w:val="00E82779"/>
    <w:rsid w:val="00E911AE"/>
    <w:rsid w:val="00E9339E"/>
    <w:rsid w:val="00E945AC"/>
    <w:rsid w:val="00E94935"/>
    <w:rsid w:val="00E94A6B"/>
    <w:rsid w:val="00EA0325"/>
    <w:rsid w:val="00EA03D6"/>
    <w:rsid w:val="00EA1B99"/>
    <w:rsid w:val="00EA21B0"/>
    <w:rsid w:val="00EB2417"/>
    <w:rsid w:val="00EB389C"/>
    <w:rsid w:val="00EB5AE9"/>
    <w:rsid w:val="00EB6A9C"/>
    <w:rsid w:val="00EC0347"/>
    <w:rsid w:val="00EC2961"/>
    <w:rsid w:val="00EC494A"/>
    <w:rsid w:val="00ED06A5"/>
    <w:rsid w:val="00ED3273"/>
    <w:rsid w:val="00ED78E3"/>
    <w:rsid w:val="00EE037C"/>
    <w:rsid w:val="00EE2B7C"/>
    <w:rsid w:val="00EE354D"/>
    <w:rsid w:val="00EE5643"/>
    <w:rsid w:val="00EE6DBD"/>
    <w:rsid w:val="00EF2000"/>
    <w:rsid w:val="00EF20ED"/>
    <w:rsid w:val="00EF3F2F"/>
    <w:rsid w:val="00EF76B9"/>
    <w:rsid w:val="00EF7BFD"/>
    <w:rsid w:val="00F0487B"/>
    <w:rsid w:val="00F05A9D"/>
    <w:rsid w:val="00F218CB"/>
    <w:rsid w:val="00F23B89"/>
    <w:rsid w:val="00F2647A"/>
    <w:rsid w:val="00F30FD1"/>
    <w:rsid w:val="00F324F3"/>
    <w:rsid w:val="00F32532"/>
    <w:rsid w:val="00F3295A"/>
    <w:rsid w:val="00F33294"/>
    <w:rsid w:val="00F33770"/>
    <w:rsid w:val="00F33FD8"/>
    <w:rsid w:val="00F359AB"/>
    <w:rsid w:val="00F369D9"/>
    <w:rsid w:val="00F37BDC"/>
    <w:rsid w:val="00F500AF"/>
    <w:rsid w:val="00F50F1E"/>
    <w:rsid w:val="00F562A8"/>
    <w:rsid w:val="00F618EA"/>
    <w:rsid w:val="00F62239"/>
    <w:rsid w:val="00F6454D"/>
    <w:rsid w:val="00F651D1"/>
    <w:rsid w:val="00F65D28"/>
    <w:rsid w:val="00F660B3"/>
    <w:rsid w:val="00F757EF"/>
    <w:rsid w:val="00F75E74"/>
    <w:rsid w:val="00F7753E"/>
    <w:rsid w:val="00F7791F"/>
    <w:rsid w:val="00F80171"/>
    <w:rsid w:val="00F80D7B"/>
    <w:rsid w:val="00F82DA1"/>
    <w:rsid w:val="00F830A5"/>
    <w:rsid w:val="00F85D6F"/>
    <w:rsid w:val="00F929C5"/>
    <w:rsid w:val="00F93A2E"/>
    <w:rsid w:val="00F95251"/>
    <w:rsid w:val="00F95DCF"/>
    <w:rsid w:val="00F972B8"/>
    <w:rsid w:val="00FA1F95"/>
    <w:rsid w:val="00FA40C1"/>
    <w:rsid w:val="00FA4B3D"/>
    <w:rsid w:val="00FB2930"/>
    <w:rsid w:val="00FB398F"/>
    <w:rsid w:val="00FB7ABE"/>
    <w:rsid w:val="00FC2362"/>
    <w:rsid w:val="00FC2DDE"/>
    <w:rsid w:val="00FC59C9"/>
    <w:rsid w:val="00FD1730"/>
    <w:rsid w:val="00FD7BFD"/>
    <w:rsid w:val="00FD7E89"/>
    <w:rsid w:val="00FE1A06"/>
    <w:rsid w:val="00FE27B9"/>
    <w:rsid w:val="00FE46C2"/>
    <w:rsid w:val="00FF2325"/>
    <w:rsid w:val="00FF2CBC"/>
    <w:rsid w:val="00FF3A6B"/>
    <w:rsid w:val="00FF7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A11"/>
    <w:pPr>
      <w:suppressAutoHyphens/>
      <w:spacing w:after="120"/>
    </w:pPr>
    <w:rPr>
      <w:rFonts w:cs="Arial"/>
      <w:sz w:val="22"/>
      <w:szCs w:val="24"/>
      <w:lang w:eastAsia="ar-SA"/>
    </w:rPr>
  </w:style>
  <w:style w:type="paragraph" w:styleId="Titre1">
    <w:name w:val="heading 1"/>
    <w:basedOn w:val="Normal"/>
    <w:next w:val="Normal"/>
    <w:link w:val="Titre1Car"/>
    <w:uiPriority w:val="9"/>
    <w:qFormat/>
    <w:rsid w:val="00F62239"/>
    <w:pPr>
      <w:keepNext/>
      <w:keepLines/>
      <w:suppressAutoHyphens w:val="0"/>
      <w:spacing w:before="360" w:after="0" w:line="480" w:lineRule="auto"/>
      <w:jc w:val="center"/>
      <w:outlineLvl w:val="0"/>
    </w:pPr>
    <w:rPr>
      <w:rFonts w:ascii="Cambria" w:hAnsi="Cambria" w:cs="Times New Roman"/>
      <w:b/>
      <w:bCs/>
      <w:sz w:val="28"/>
      <w:szCs w:val="28"/>
      <w:u w:val="single"/>
      <w:lang w:eastAsia="en-US"/>
    </w:rPr>
  </w:style>
  <w:style w:type="paragraph" w:styleId="Titre2">
    <w:name w:val="heading 2"/>
    <w:basedOn w:val="Normal"/>
    <w:next w:val="Normal"/>
    <w:link w:val="Titre2Car"/>
    <w:uiPriority w:val="9"/>
    <w:unhideWhenUsed/>
    <w:qFormat/>
    <w:rsid w:val="0040739B"/>
    <w:pPr>
      <w:keepNext/>
      <w:keepLines/>
      <w:suppressAutoHyphens w:val="0"/>
      <w:spacing w:before="200" w:after="0" w:line="276" w:lineRule="auto"/>
      <w:outlineLvl w:val="1"/>
    </w:pPr>
    <w:rPr>
      <w:rFonts w:ascii="Cambria" w:hAnsi="Cambria" w:cs="Times New Roman"/>
      <w:b/>
      <w:bCs/>
      <w:color w:val="4F81BD"/>
      <w:sz w:val="26"/>
      <w:szCs w:val="26"/>
      <w:lang w:eastAsia="en-US"/>
    </w:rPr>
  </w:style>
  <w:style w:type="paragraph" w:styleId="Titre3">
    <w:name w:val="heading 3"/>
    <w:basedOn w:val="Normal"/>
    <w:next w:val="Normal"/>
    <w:link w:val="Titre3Car"/>
    <w:uiPriority w:val="9"/>
    <w:unhideWhenUsed/>
    <w:qFormat/>
    <w:rsid w:val="00F62239"/>
    <w:pPr>
      <w:keepNext/>
      <w:keepLines/>
      <w:suppressAutoHyphens w:val="0"/>
      <w:spacing w:before="200" w:after="0" w:line="480" w:lineRule="auto"/>
      <w:outlineLvl w:val="2"/>
    </w:pPr>
    <w:rPr>
      <w:rFonts w:ascii="Cambria" w:hAnsi="Cambria" w:cs="Times New Roman"/>
      <w:b/>
      <w:bCs/>
      <w:color w:val="002060"/>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Policepardfaut1">
    <w:name w:val="Police par défaut1"/>
  </w:style>
  <w:style w:type="paragraph" w:customStyle="1" w:styleId="Titre10">
    <w:name w:val="Titre1"/>
    <w:basedOn w:val="Normal"/>
    <w:next w:val="Corpsdetexte"/>
    <w:pPr>
      <w:keepNext/>
      <w:spacing w:before="240"/>
    </w:pPr>
    <w:rPr>
      <w:rFonts w:ascii="Arial" w:eastAsia="MS Mincho" w:hAnsi="Arial" w:cs="Tahoma"/>
      <w:sz w:val="28"/>
      <w:szCs w:val="28"/>
    </w:rPr>
  </w:style>
  <w:style w:type="paragraph" w:styleId="Corpsdetexte">
    <w:name w:val="Body Text"/>
    <w:basedOn w:val="Normal"/>
  </w:style>
  <w:style w:type="paragraph" w:styleId="Liste">
    <w:name w:val="List"/>
    <w:basedOn w:val="Corpsdetexte"/>
    <w:rPr>
      <w:rFonts w:cs="Tahoma"/>
    </w:rPr>
  </w:style>
  <w:style w:type="paragraph" w:customStyle="1" w:styleId="Lgende1">
    <w:name w:val="Légende1"/>
    <w:basedOn w:val="Normal"/>
    <w:pPr>
      <w:suppressLineNumbers/>
      <w:spacing w:before="120"/>
    </w:pPr>
    <w:rPr>
      <w:rFonts w:cs="Tahoma"/>
      <w:i/>
      <w:iCs/>
      <w:sz w:val="24"/>
    </w:rPr>
  </w:style>
  <w:style w:type="paragraph" w:customStyle="1" w:styleId="Rpertoire">
    <w:name w:val="Répertoire"/>
    <w:basedOn w:val="Normal"/>
    <w:pPr>
      <w:suppressLineNumbers/>
    </w:pPr>
    <w:rPr>
      <w:rFonts w:cs="Tahom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basedOn w:val="Normal"/>
    <w:uiPriority w:val="34"/>
    <w:qFormat/>
    <w:rsid w:val="00524D83"/>
    <w:pPr>
      <w:ind w:left="708"/>
    </w:pPr>
  </w:style>
  <w:style w:type="paragraph" w:styleId="En-tte">
    <w:name w:val="header"/>
    <w:basedOn w:val="Normal"/>
    <w:link w:val="En-tteCar"/>
    <w:uiPriority w:val="99"/>
    <w:rsid w:val="007243CC"/>
    <w:pPr>
      <w:tabs>
        <w:tab w:val="center" w:pos="4536"/>
        <w:tab w:val="right" w:pos="9072"/>
      </w:tabs>
    </w:pPr>
  </w:style>
  <w:style w:type="character" w:customStyle="1" w:styleId="En-tteCar">
    <w:name w:val="En-tête Car"/>
    <w:link w:val="En-tte"/>
    <w:uiPriority w:val="99"/>
    <w:rsid w:val="007243CC"/>
    <w:rPr>
      <w:rFonts w:ascii="Arial" w:hAnsi="Arial" w:cs="Arial"/>
      <w:sz w:val="24"/>
      <w:szCs w:val="24"/>
      <w:lang w:eastAsia="ar-SA"/>
    </w:rPr>
  </w:style>
  <w:style w:type="paragraph" w:styleId="Pieddepage">
    <w:name w:val="footer"/>
    <w:basedOn w:val="Normal"/>
    <w:link w:val="PieddepageCar"/>
    <w:uiPriority w:val="99"/>
    <w:rsid w:val="007243CC"/>
    <w:pPr>
      <w:tabs>
        <w:tab w:val="center" w:pos="4536"/>
        <w:tab w:val="right" w:pos="9072"/>
      </w:tabs>
    </w:pPr>
  </w:style>
  <w:style w:type="character" w:customStyle="1" w:styleId="PieddepageCar">
    <w:name w:val="Pied de page Car"/>
    <w:link w:val="Pieddepage"/>
    <w:uiPriority w:val="99"/>
    <w:rsid w:val="007243CC"/>
    <w:rPr>
      <w:rFonts w:ascii="Arial" w:hAnsi="Arial" w:cs="Arial"/>
      <w:sz w:val="24"/>
      <w:szCs w:val="24"/>
      <w:lang w:eastAsia="ar-SA"/>
    </w:rPr>
  </w:style>
  <w:style w:type="paragraph" w:styleId="Textedebulles">
    <w:name w:val="Balloon Text"/>
    <w:basedOn w:val="Normal"/>
    <w:link w:val="TextedebullesCar"/>
    <w:uiPriority w:val="99"/>
    <w:rsid w:val="007243CC"/>
    <w:rPr>
      <w:rFonts w:ascii="Tahoma" w:hAnsi="Tahoma" w:cs="Tahoma"/>
      <w:sz w:val="16"/>
      <w:szCs w:val="16"/>
    </w:rPr>
  </w:style>
  <w:style w:type="character" w:customStyle="1" w:styleId="TextedebullesCar">
    <w:name w:val="Texte de bulles Car"/>
    <w:link w:val="Textedebulles"/>
    <w:uiPriority w:val="99"/>
    <w:rsid w:val="007243CC"/>
    <w:rPr>
      <w:rFonts w:ascii="Tahoma" w:hAnsi="Tahoma" w:cs="Tahoma"/>
      <w:sz w:val="16"/>
      <w:szCs w:val="16"/>
      <w:lang w:eastAsia="ar-SA"/>
    </w:rPr>
  </w:style>
  <w:style w:type="table" w:styleId="Grilledutableau">
    <w:name w:val="Table Grid"/>
    <w:basedOn w:val="TableauNormal"/>
    <w:uiPriority w:val="99"/>
    <w:rsid w:val="00B7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7B47DF"/>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ccentuation">
    <w:name w:val="Emphasis"/>
    <w:qFormat/>
    <w:rsid w:val="007B47DF"/>
    <w:rPr>
      <w:i/>
      <w:iCs/>
    </w:rPr>
  </w:style>
  <w:style w:type="character" w:styleId="lev">
    <w:name w:val="Strong"/>
    <w:qFormat/>
    <w:rsid w:val="007B47DF"/>
    <w:rPr>
      <w:b/>
      <w:bCs/>
    </w:rPr>
  </w:style>
  <w:style w:type="character" w:customStyle="1" w:styleId="Titre1Car">
    <w:name w:val="Titre 1 Car"/>
    <w:link w:val="Titre1"/>
    <w:uiPriority w:val="9"/>
    <w:rsid w:val="00F62239"/>
    <w:rPr>
      <w:rFonts w:ascii="Cambria" w:hAnsi="Cambria"/>
      <w:b/>
      <w:bCs/>
      <w:sz w:val="28"/>
      <w:szCs w:val="28"/>
      <w:u w:val="single"/>
      <w:lang w:eastAsia="en-US"/>
    </w:rPr>
  </w:style>
  <w:style w:type="character" w:customStyle="1" w:styleId="Titre2Car">
    <w:name w:val="Titre 2 Car"/>
    <w:link w:val="Titre2"/>
    <w:uiPriority w:val="9"/>
    <w:rsid w:val="0040739B"/>
    <w:rPr>
      <w:rFonts w:ascii="Cambria" w:hAnsi="Cambria"/>
      <w:b/>
      <w:bCs/>
      <w:color w:val="4F81BD"/>
      <w:sz w:val="26"/>
      <w:szCs w:val="26"/>
      <w:lang w:eastAsia="en-US"/>
    </w:rPr>
  </w:style>
  <w:style w:type="character" w:customStyle="1" w:styleId="Titre3Car">
    <w:name w:val="Titre 3 Car"/>
    <w:link w:val="Titre3"/>
    <w:uiPriority w:val="9"/>
    <w:rsid w:val="00F62239"/>
    <w:rPr>
      <w:rFonts w:ascii="Cambria" w:hAnsi="Cambria"/>
      <w:b/>
      <w:bCs/>
      <w:color w:val="002060"/>
      <w:sz w:val="22"/>
      <w:szCs w:val="22"/>
      <w:lang w:eastAsia="en-US"/>
    </w:rPr>
  </w:style>
  <w:style w:type="numbering" w:customStyle="1" w:styleId="Aucuneliste1">
    <w:name w:val="Aucune liste1"/>
    <w:next w:val="Aucuneliste"/>
    <w:uiPriority w:val="99"/>
    <w:semiHidden/>
    <w:unhideWhenUsed/>
    <w:rsid w:val="0040739B"/>
  </w:style>
  <w:style w:type="table" w:customStyle="1" w:styleId="Listeclaire-Accent31">
    <w:name w:val="Liste claire - Accent 31"/>
    <w:basedOn w:val="TableauNormal"/>
    <w:next w:val="Listeclaire-Accent3"/>
    <w:uiPriority w:val="61"/>
    <w:rsid w:val="0040739B"/>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ramemoyenne1-Accent3">
    <w:name w:val="Medium Shading 1 Accent 3"/>
    <w:basedOn w:val="TableauNormal"/>
    <w:uiPriority w:val="63"/>
    <w:rsid w:val="0040739B"/>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rameclaire-Accent3">
    <w:name w:val="Light Shading Accent 3"/>
    <w:basedOn w:val="TableauNormal"/>
    <w:uiPriority w:val="60"/>
    <w:rsid w:val="0040739B"/>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gende">
    <w:name w:val="caption"/>
    <w:basedOn w:val="Normal"/>
    <w:next w:val="Normal"/>
    <w:uiPriority w:val="35"/>
    <w:unhideWhenUsed/>
    <w:qFormat/>
    <w:rsid w:val="001561AA"/>
    <w:pPr>
      <w:suppressAutoHyphens w:val="0"/>
      <w:spacing w:after="200"/>
    </w:pPr>
    <w:rPr>
      <w:rFonts w:eastAsia="Calibri" w:cs="Times New Roman"/>
      <w:bCs/>
      <w:color w:val="4F81BD"/>
      <w:sz w:val="18"/>
      <w:szCs w:val="18"/>
      <w:lang w:eastAsia="en-US"/>
    </w:rPr>
  </w:style>
  <w:style w:type="table" w:styleId="Trameclaire-Accent6">
    <w:name w:val="Light Shading Accent 6"/>
    <w:basedOn w:val="TableauNormal"/>
    <w:uiPriority w:val="60"/>
    <w:rsid w:val="0040739B"/>
    <w:rPr>
      <w:rFonts w:ascii="Calibri" w:eastAsia="Calibri" w:hAnsi="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rameclaire-Accent5">
    <w:name w:val="Light Shading Accent 5"/>
    <w:basedOn w:val="TableauNormal"/>
    <w:uiPriority w:val="60"/>
    <w:rsid w:val="0040739B"/>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rameclaire-Accent4">
    <w:name w:val="Light Shading Accent 4"/>
    <w:basedOn w:val="TableauNormal"/>
    <w:uiPriority w:val="60"/>
    <w:rsid w:val="0040739B"/>
    <w:rPr>
      <w:rFonts w:ascii="Calibri" w:eastAsia="Calibri" w:hAnsi="Calibr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En-ttedetabledesmatires">
    <w:name w:val="TOC Heading"/>
    <w:basedOn w:val="Titre1"/>
    <w:next w:val="Normal"/>
    <w:uiPriority w:val="39"/>
    <w:unhideWhenUsed/>
    <w:qFormat/>
    <w:rsid w:val="0040739B"/>
    <w:pPr>
      <w:outlineLvl w:val="9"/>
    </w:pPr>
    <w:rPr>
      <w:color w:val="365F91"/>
      <w:lang w:eastAsia="fr-FR"/>
    </w:rPr>
  </w:style>
  <w:style w:type="paragraph" w:styleId="TM2">
    <w:name w:val="toc 2"/>
    <w:basedOn w:val="Normal"/>
    <w:next w:val="Normal"/>
    <w:autoRedefine/>
    <w:uiPriority w:val="39"/>
    <w:unhideWhenUsed/>
    <w:rsid w:val="000F45AE"/>
    <w:pPr>
      <w:tabs>
        <w:tab w:val="right" w:leader="dot" w:pos="9059"/>
      </w:tabs>
      <w:suppressAutoHyphens w:val="0"/>
      <w:spacing w:after="100" w:line="276" w:lineRule="auto"/>
      <w:ind w:left="220"/>
    </w:pPr>
    <w:rPr>
      <w:rFonts w:ascii="Calibri" w:eastAsia="Calibri" w:hAnsi="Calibri" w:cs="Times New Roman"/>
      <w:szCs w:val="22"/>
      <w:lang w:eastAsia="en-US"/>
    </w:rPr>
  </w:style>
  <w:style w:type="paragraph" w:styleId="TM3">
    <w:name w:val="toc 3"/>
    <w:basedOn w:val="Normal"/>
    <w:next w:val="Normal"/>
    <w:autoRedefine/>
    <w:uiPriority w:val="39"/>
    <w:unhideWhenUsed/>
    <w:rsid w:val="0040739B"/>
    <w:pPr>
      <w:suppressAutoHyphens w:val="0"/>
      <w:spacing w:after="100" w:line="276" w:lineRule="auto"/>
      <w:ind w:left="440"/>
    </w:pPr>
    <w:rPr>
      <w:rFonts w:ascii="Calibri" w:eastAsia="Calibri" w:hAnsi="Calibri" w:cs="Times New Roman"/>
      <w:szCs w:val="22"/>
      <w:lang w:eastAsia="en-US"/>
    </w:rPr>
  </w:style>
  <w:style w:type="character" w:styleId="Lienhypertexte">
    <w:name w:val="Hyperlink"/>
    <w:uiPriority w:val="99"/>
    <w:unhideWhenUsed/>
    <w:rsid w:val="0040739B"/>
    <w:rPr>
      <w:color w:val="0000FF"/>
      <w:u w:val="single"/>
    </w:rPr>
  </w:style>
  <w:style w:type="paragraph" w:styleId="Titre">
    <w:name w:val="Title"/>
    <w:basedOn w:val="Normal"/>
    <w:next w:val="Normal"/>
    <w:link w:val="TitreCar"/>
    <w:qFormat/>
    <w:rsid w:val="0069634A"/>
    <w:pPr>
      <w:spacing w:before="240" w:after="60"/>
      <w:jc w:val="center"/>
      <w:outlineLvl w:val="0"/>
    </w:pPr>
    <w:rPr>
      <w:rFonts w:ascii="Cambria" w:hAnsi="Cambria" w:cs="Times New Roman"/>
      <w:b/>
      <w:bCs/>
      <w:kern w:val="28"/>
      <w:sz w:val="28"/>
      <w:szCs w:val="32"/>
      <w:u w:val="single"/>
    </w:rPr>
  </w:style>
  <w:style w:type="character" w:customStyle="1" w:styleId="TitreCar">
    <w:name w:val="Titre Car"/>
    <w:link w:val="Titre"/>
    <w:rsid w:val="0069634A"/>
    <w:rPr>
      <w:rFonts w:ascii="Cambria" w:eastAsia="Times New Roman" w:hAnsi="Cambria" w:cs="Times New Roman"/>
      <w:b/>
      <w:bCs/>
      <w:kern w:val="28"/>
      <w:sz w:val="28"/>
      <w:szCs w:val="32"/>
      <w:u w:val="single"/>
      <w:lang w:eastAsia="ar-SA"/>
    </w:rPr>
  </w:style>
  <w:style w:type="paragraph" w:styleId="TM1">
    <w:name w:val="toc 1"/>
    <w:basedOn w:val="Normal"/>
    <w:next w:val="Normal"/>
    <w:autoRedefine/>
    <w:uiPriority w:val="39"/>
    <w:rsid w:val="00F62239"/>
  </w:style>
  <w:style w:type="table" w:styleId="Listemoyenne1-Accent3">
    <w:name w:val="Medium List 1 Accent 3"/>
    <w:basedOn w:val="TableauNormal"/>
    <w:uiPriority w:val="65"/>
    <w:rsid w:val="00825A0D"/>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eclaire-Accent2">
    <w:name w:val="Light List Accent 2"/>
    <w:basedOn w:val="TableauNormal"/>
    <w:uiPriority w:val="61"/>
    <w:rsid w:val="00D33B92"/>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rmalWeb">
    <w:name w:val="Normal (Web)"/>
    <w:basedOn w:val="Normal"/>
    <w:uiPriority w:val="99"/>
    <w:unhideWhenUsed/>
    <w:rsid w:val="00970FCB"/>
    <w:pPr>
      <w:suppressAutoHyphens w:val="0"/>
      <w:spacing w:before="100" w:beforeAutospacing="1" w:after="100" w:afterAutospacing="1"/>
    </w:pPr>
    <w:rPr>
      <w:rFonts w:eastAsiaTheme="minorEastAsia" w:cs="Times New Roman"/>
      <w:sz w:val="24"/>
      <w:lang w:eastAsia="fr-FR"/>
    </w:rPr>
  </w:style>
  <w:style w:type="table" w:styleId="Listemoyenne1-Accent6">
    <w:name w:val="Medium List 1 Accent 6"/>
    <w:basedOn w:val="TableauNormal"/>
    <w:uiPriority w:val="65"/>
    <w:rsid w:val="008904F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mbrageclair">
    <w:name w:val="Light Shading"/>
    <w:basedOn w:val="TableauNormal"/>
    <w:uiPriority w:val="60"/>
    <w:rsid w:val="004169C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A11"/>
    <w:pPr>
      <w:suppressAutoHyphens/>
      <w:spacing w:after="120"/>
    </w:pPr>
    <w:rPr>
      <w:rFonts w:cs="Arial"/>
      <w:sz w:val="22"/>
      <w:szCs w:val="24"/>
      <w:lang w:eastAsia="ar-SA"/>
    </w:rPr>
  </w:style>
  <w:style w:type="paragraph" w:styleId="Titre1">
    <w:name w:val="heading 1"/>
    <w:basedOn w:val="Normal"/>
    <w:next w:val="Normal"/>
    <w:link w:val="Titre1Car"/>
    <w:uiPriority w:val="9"/>
    <w:qFormat/>
    <w:rsid w:val="00F62239"/>
    <w:pPr>
      <w:keepNext/>
      <w:keepLines/>
      <w:suppressAutoHyphens w:val="0"/>
      <w:spacing w:before="360" w:after="0" w:line="480" w:lineRule="auto"/>
      <w:jc w:val="center"/>
      <w:outlineLvl w:val="0"/>
    </w:pPr>
    <w:rPr>
      <w:rFonts w:ascii="Cambria" w:hAnsi="Cambria" w:cs="Times New Roman"/>
      <w:b/>
      <w:bCs/>
      <w:sz w:val="28"/>
      <w:szCs w:val="28"/>
      <w:u w:val="single"/>
      <w:lang w:eastAsia="en-US"/>
    </w:rPr>
  </w:style>
  <w:style w:type="paragraph" w:styleId="Titre2">
    <w:name w:val="heading 2"/>
    <w:basedOn w:val="Normal"/>
    <w:next w:val="Normal"/>
    <w:link w:val="Titre2Car"/>
    <w:uiPriority w:val="9"/>
    <w:unhideWhenUsed/>
    <w:qFormat/>
    <w:rsid w:val="0040739B"/>
    <w:pPr>
      <w:keepNext/>
      <w:keepLines/>
      <w:suppressAutoHyphens w:val="0"/>
      <w:spacing w:before="200" w:after="0" w:line="276" w:lineRule="auto"/>
      <w:outlineLvl w:val="1"/>
    </w:pPr>
    <w:rPr>
      <w:rFonts w:ascii="Cambria" w:hAnsi="Cambria" w:cs="Times New Roman"/>
      <w:b/>
      <w:bCs/>
      <w:color w:val="4F81BD"/>
      <w:sz w:val="26"/>
      <w:szCs w:val="26"/>
      <w:lang w:eastAsia="en-US"/>
    </w:rPr>
  </w:style>
  <w:style w:type="paragraph" w:styleId="Titre3">
    <w:name w:val="heading 3"/>
    <w:basedOn w:val="Normal"/>
    <w:next w:val="Normal"/>
    <w:link w:val="Titre3Car"/>
    <w:uiPriority w:val="9"/>
    <w:unhideWhenUsed/>
    <w:qFormat/>
    <w:rsid w:val="00F62239"/>
    <w:pPr>
      <w:keepNext/>
      <w:keepLines/>
      <w:suppressAutoHyphens w:val="0"/>
      <w:spacing w:before="200" w:after="0" w:line="480" w:lineRule="auto"/>
      <w:outlineLvl w:val="2"/>
    </w:pPr>
    <w:rPr>
      <w:rFonts w:ascii="Cambria" w:hAnsi="Cambria" w:cs="Times New Roman"/>
      <w:b/>
      <w:bCs/>
      <w:color w:val="002060"/>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Policepardfaut1">
    <w:name w:val="Police par défaut1"/>
  </w:style>
  <w:style w:type="paragraph" w:customStyle="1" w:styleId="Titre10">
    <w:name w:val="Titre1"/>
    <w:basedOn w:val="Normal"/>
    <w:next w:val="Corpsdetexte"/>
    <w:pPr>
      <w:keepNext/>
      <w:spacing w:before="240"/>
    </w:pPr>
    <w:rPr>
      <w:rFonts w:ascii="Arial" w:eastAsia="MS Mincho" w:hAnsi="Arial" w:cs="Tahoma"/>
      <w:sz w:val="28"/>
      <w:szCs w:val="28"/>
    </w:rPr>
  </w:style>
  <w:style w:type="paragraph" w:styleId="Corpsdetexte">
    <w:name w:val="Body Text"/>
    <w:basedOn w:val="Normal"/>
  </w:style>
  <w:style w:type="paragraph" w:styleId="Liste">
    <w:name w:val="List"/>
    <w:basedOn w:val="Corpsdetexte"/>
    <w:rPr>
      <w:rFonts w:cs="Tahoma"/>
    </w:rPr>
  </w:style>
  <w:style w:type="paragraph" w:customStyle="1" w:styleId="Lgende1">
    <w:name w:val="Légende1"/>
    <w:basedOn w:val="Normal"/>
    <w:pPr>
      <w:suppressLineNumbers/>
      <w:spacing w:before="120"/>
    </w:pPr>
    <w:rPr>
      <w:rFonts w:cs="Tahoma"/>
      <w:i/>
      <w:iCs/>
      <w:sz w:val="24"/>
    </w:rPr>
  </w:style>
  <w:style w:type="paragraph" w:customStyle="1" w:styleId="Rpertoire">
    <w:name w:val="Répertoire"/>
    <w:basedOn w:val="Normal"/>
    <w:pPr>
      <w:suppressLineNumbers/>
    </w:pPr>
    <w:rPr>
      <w:rFonts w:cs="Tahom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aragraphedeliste">
    <w:name w:val="List Paragraph"/>
    <w:basedOn w:val="Normal"/>
    <w:uiPriority w:val="34"/>
    <w:qFormat/>
    <w:rsid w:val="00524D83"/>
    <w:pPr>
      <w:ind w:left="708"/>
    </w:pPr>
  </w:style>
  <w:style w:type="paragraph" w:styleId="En-tte">
    <w:name w:val="header"/>
    <w:basedOn w:val="Normal"/>
    <w:link w:val="En-tteCar"/>
    <w:uiPriority w:val="99"/>
    <w:rsid w:val="007243CC"/>
    <w:pPr>
      <w:tabs>
        <w:tab w:val="center" w:pos="4536"/>
        <w:tab w:val="right" w:pos="9072"/>
      </w:tabs>
    </w:pPr>
  </w:style>
  <w:style w:type="character" w:customStyle="1" w:styleId="En-tteCar">
    <w:name w:val="En-tête Car"/>
    <w:link w:val="En-tte"/>
    <w:uiPriority w:val="99"/>
    <w:rsid w:val="007243CC"/>
    <w:rPr>
      <w:rFonts w:ascii="Arial" w:hAnsi="Arial" w:cs="Arial"/>
      <w:sz w:val="24"/>
      <w:szCs w:val="24"/>
      <w:lang w:eastAsia="ar-SA"/>
    </w:rPr>
  </w:style>
  <w:style w:type="paragraph" w:styleId="Pieddepage">
    <w:name w:val="footer"/>
    <w:basedOn w:val="Normal"/>
    <w:link w:val="PieddepageCar"/>
    <w:uiPriority w:val="99"/>
    <w:rsid w:val="007243CC"/>
    <w:pPr>
      <w:tabs>
        <w:tab w:val="center" w:pos="4536"/>
        <w:tab w:val="right" w:pos="9072"/>
      </w:tabs>
    </w:pPr>
  </w:style>
  <w:style w:type="character" w:customStyle="1" w:styleId="PieddepageCar">
    <w:name w:val="Pied de page Car"/>
    <w:link w:val="Pieddepage"/>
    <w:uiPriority w:val="99"/>
    <w:rsid w:val="007243CC"/>
    <w:rPr>
      <w:rFonts w:ascii="Arial" w:hAnsi="Arial" w:cs="Arial"/>
      <w:sz w:val="24"/>
      <w:szCs w:val="24"/>
      <w:lang w:eastAsia="ar-SA"/>
    </w:rPr>
  </w:style>
  <w:style w:type="paragraph" w:styleId="Textedebulles">
    <w:name w:val="Balloon Text"/>
    <w:basedOn w:val="Normal"/>
    <w:link w:val="TextedebullesCar"/>
    <w:uiPriority w:val="99"/>
    <w:rsid w:val="007243CC"/>
    <w:rPr>
      <w:rFonts w:ascii="Tahoma" w:hAnsi="Tahoma" w:cs="Tahoma"/>
      <w:sz w:val="16"/>
      <w:szCs w:val="16"/>
    </w:rPr>
  </w:style>
  <w:style w:type="character" w:customStyle="1" w:styleId="TextedebullesCar">
    <w:name w:val="Texte de bulles Car"/>
    <w:link w:val="Textedebulles"/>
    <w:uiPriority w:val="99"/>
    <w:rsid w:val="007243CC"/>
    <w:rPr>
      <w:rFonts w:ascii="Tahoma" w:hAnsi="Tahoma" w:cs="Tahoma"/>
      <w:sz w:val="16"/>
      <w:szCs w:val="16"/>
      <w:lang w:eastAsia="ar-SA"/>
    </w:rPr>
  </w:style>
  <w:style w:type="table" w:styleId="Grilledutableau">
    <w:name w:val="Table Grid"/>
    <w:basedOn w:val="TableauNormal"/>
    <w:uiPriority w:val="99"/>
    <w:rsid w:val="00B7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7B47DF"/>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ccentuation">
    <w:name w:val="Emphasis"/>
    <w:qFormat/>
    <w:rsid w:val="007B47DF"/>
    <w:rPr>
      <w:i/>
      <w:iCs/>
    </w:rPr>
  </w:style>
  <w:style w:type="character" w:styleId="lev">
    <w:name w:val="Strong"/>
    <w:qFormat/>
    <w:rsid w:val="007B47DF"/>
    <w:rPr>
      <w:b/>
      <w:bCs/>
    </w:rPr>
  </w:style>
  <w:style w:type="character" w:customStyle="1" w:styleId="Titre1Car">
    <w:name w:val="Titre 1 Car"/>
    <w:link w:val="Titre1"/>
    <w:uiPriority w:val="9"/>
    <w:rsid w:val="00F62239"/>
    <w:rPr>
      <w:rFonts w:ascii="Cambria" w:hAnsi="Cambria"/>
      <w:b/>
      <w:bCs/>
      <w:sz w:val="28"/>
      <w:szCs w:val="28"/>
      <w:u w:val="single"/>
      <w:lang w:eastAsia="en-US"/>
    </w:rPr>
  </w:style>
  <w:style w:type="character" w:customStyle="1" w:styleId="Titre2Car">
    <w:name w:val="Titre 2 Car"/>
    <w:link w:val="Titre2"/>
    <w:uiPriority w:val="9"/>
    <w:rsid w:val="0040739B"/>
    <w:rPr>
      <w:rFonts w:ascii="Cambria" w:hAnsi="Cambria"/>
      <w:b/>
      <w:bCs/>
      <w:color w:val="4F81BD"/>
      <w:sz w:val="26"/>
      <w:szCs w:val="26"/>
      <w:lang w:eastAsia="en-US"/>
    </w:rPr>
  </w:style>
  <w:style w:type="character" w:customStyle="1" w:styleId="Titre3Car">
    <w:name w:val="Titre 3 Car"/>
    <w:link w:val="Titre3"/>
    <w:uiPriority w:val="9"/>
    <w:rsid w:val="00F62239"/>
    <w:rPr>
      <w:rFonts w:ascii="Cambria" w:hAnsi="Cambria"/>
      <w:b/>
      <w:bCs/>
      <w:color w:val="002060"/>
      <w:sz w:val="22"/>
      <w:szCs w:val="22"/>
      <w:lang w:eastAsia="en-US"/>
    </w:rPr>
  </w:style>
  <w:style w:type="numbering" w:customStyle="1" w:styleId="Aucuneliste1">
    <w:name w:val="Aucune liste1"/>
    <w:next w:val="Aucuneliste"/>
    <w:uiPriority w:val="99"/>
    <w:semiHidden/>
    <w:unhideWhenUsed/>
    <w:rsid w:val="0040739B"/>
  </w:style>
  <w:style w:type="table" w:customStyle="1" w:styleId="Listeclaire-Accent31">
    <w:name w:val="Liste claire - Accent 31"/>
    <w:basedOn w:val="TableauNormal"/>
    <w:next w:val="Listeclaire-Accent3"/>
    <w:uiPriority w:val="61"/>
    <w:rsid w:val="0040739B"/>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ramemoyenne1-Accent3">
    <w:name w:val="Medium Shading 1 Accent 3"/>
    <w:basedOn w:val="TableauNormal"/>
    <w:uiPriority w:val="63"/>
    <w:rsid w:val="0040739B"/>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rameclaire-Accent3">
    <w:name w:val="Light Shading Accent 3"/>
    <w:basedOn w:val="TableauNormal"/>
    <w:uiPriority w:val="60"/>
    <w:rsid w:val="0040739B"/>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gende">
    <w:name w:val="caption"/>
    <w:basedOn w:val="Normal"/>
    <w:next w:val="Normal"/>
    <w:uiPriority w:val="35"/>
    <w:unhideWhenUsed/>
    <w:qFormat/>
    <w:rsid w:val="001561AA"/>
    <w:pPr>
      <w:suppressAutoHyphens w:val="0"/>
      <w:spacing w:after="200"/>
    </w:pPr>
    <w:rPr>
      <w:rFonts w:eastAsia="Calibri" w:cs="Times New Roman"/>
      <w:bCs/>
      <w:color w:val="4F81BD"/>
      <w:sz w:val="18"/>
      <w:szCs w:val="18"/>
      <w:lang w:eastAsia="en-US"/>
    </w:rPr>
  </w:style>
  <w:style w:type="table" w:styleId="Trameclaire-Accent6">
    <w:name w:val="Light Shading Accent 6"/>
    <w:basedOn w:val="TableauNormal"/>
    <w:uiPriority w:val="60"/>
    <w:rsid w:val="0040739B"/>
    <w:rPr>
      <w:rFonts w:ascii="Calibri" w:eastAsia="Calibri" w:hAnsi="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rameclaire-Accent5">
    <w:name w:val="Light Shading Accent 5"/>
    <w:basedOn w:val="TableauNormal"/>
    <w:uiPriority w:val="60"/>
    <w:rsid w:val="0040739B"/>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rameclaire-Accent4">
    <w:name w:val="Light Shading Accent 4"/>
    <w:basedOn w:val="TableauNormal"/>
    <w:uiPriority w:val="60"/>
    <w:rsid w:val="0040739B"/>
    <w:rPr>
      <w:rFonts w:ascii="Calibri" w:eastAsia="Calibri" w:hAnsi="Calibr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En-ttedetabledesmatires">
    <w:name w:val="TOC Heading"/>
    <w:basedOn w:val="Titre1"/>
    <w:next w:val="Normal"/>
    <w:uiPriority w:val="39"/>
    <w:unhideWhenUsed/>
    <w:qFormat/>
    <w:rsid w:val="0040739B"/>
    <w:pPr>
      <w:outlineLvl w:val="9"/>
    </w:pPr>
    <w:rPr>
      <w:color w:val="365F91"/>
      <w:lang w:eastAsia="fr-FR"/>
    </w:rPr>
  </w:style>
  <w:style w:type="paragraph" w:styleId="TM2">
    <w:name w:val="toc 2"/>
    <w:basedOn w:val="Normal"/>
    <w:next w:val="Normal"/>
    <w:autoRedefine/>
    <w:uiPriority w:val="39"/>
    <w:unhideWhenUsed/>
    <w:rsid w:val="000F45AE"/>
    <w:pPr>
      <w:tabs>
        <w:tab w:val="right" w:leader="dot" w:pos="9059"/>
      </w:tabs>
      <w:suppressAutoHyphens w:val="0"/>
      <w:spacing w:after="100" w:line="276" w:lineRule="auto"/>
      <w:ind w:left="220"/>
    </w:pPr>
    <w:rPr>
      <w:rFonts w:ascii="Calibri" w:eastAsia="Calibri" w:hAnsi="Calibri" w:cs="Times New Roman"/>
      <w:szCs w:val="22"/>
      <w:lang w:eastAsia="en-US"/>
    </w:rPr>
  </w:style>
  <w:style w:type="paragraph" w:styleId="TM3">
    <w:name w:val="toc 3"/>
    <w:basedOn w:val="Normal"/>
    <w:next w:val="Normal"/>
    <w:autoRedefine/>
    <w:uiPriority w:val="39"/>
    <w:unhideWhenUsed/>
    <w:rsid w:val="0040739B"/>
    <w:pPr>
      <w:suppressAutoHyphens w:val="0"/>
      <w:spacing w:after="100" w:line="276" w:lineRule="auto"/>
      <w:ind w:left="440"/>
    </w:pPr>
    <w:rPr>
      <w:rFonts w:ascii="Calibri" w:eastAsia="Calibri" w:hAnsi="Calibri" w:cs="Times New Roman"/>
      <w:szCs w:val="22"/>
      <w:lang w:eastAsia="en-US"/>
    </w:rPr>
  </w:style>
  <w:style w:type="character" w:styleId="Lienhypertexte">
    <w:name w:val="Hyperlink"/>
    <w:uiPriority w:val="99"/>
    <w:unhideWhenUsed/>
    <w:rsid w:val="0040739B"/>
    <w:rPr>
      <w:color w:val="0000FF"/>
      <w:u w:val="single"/>
    </w:rPr>
  </w:style>
  <w:style w:type="paragraph" w:styleId="Titre">
    <w:name w:val="Title"/>
    <w:basedOn w:val="Normal"/>
    <w:next w:val="Normal"/>
    <w:link w:val="TitreCar"/>
    <w:qFormat/>
    <w:rsid w:val="0069634A"/>
    <w:pPr>
      <w:spacing w:before="240" w:after="60"/>
      <w:jc w:val="center"/>
      <w:outlineLvl w:val="0"/>
    </w:pPr>
    <w:rPr>
      <w:rFonts w:ascii="Cambria" w:hAnsi="Cambria" w:cs="Times New Roman"/>
      <w:b/>
      <w:bCs/>
      <w:kern w:val="28"/>
      <w:sz w:val="28"/>
      <w:szCs w:val="32"/>
      <w:u w:val="single"/>
    </w:rPr>
  </w:style>
  <w:style w:type="character" w:customStyle="1" w:styleId="TitreCar">
    <w:name w:val="Titre Car"/>
    <w:link w:val="Titre"/>
    <w:rsid w:val="0069634A"/>
    <w:rPr>
      <w:rFonts w:ascii="Cambria" w:eastAsia="Times New Roman" w:hAnsi="Cambria" w:cs="Times New Roman"/>
      <w:b/>
      <w:bCs/>
      <w:kern w:val="28"/>
      <w:sz w:val="28"/>
      <w:szCs w:val="32"/>
      <w:u w:val="single"/>
      <w:lang w:eastAsia="ar-SA"/>
    </w:rPr>
  </w:style>
  <w:style w:type="paragraph" w:styleId="TM1">
    <w:name w:val="toc 1"/>
    <w:basedOn w:val="Normal"/>
    <w:next w:val="Normal"/>
    <w:autoRedefine/>
    <w:uiPriority w:val="39"/>
    <w:rsid w:val="00F62239"/>
  </w:style>
  <w:style w:type="table" w:styleId="Listemoyenne1-Accent3">
    <w:name w:val="Medium List 1 Accent 3"/>
    <w:basedOn w:val="TableauNormal"/>
    <w:uiPriority w:val="65"/>
    <w:rsid w:val="00825A0D"/>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eclaire-Accent2">
    <w:name w:val="Light List Accent 2"/>
    <w:basedOn w:val="TableauNormal"/>
    <w:uiPriority w:val="61"/>
    <w:rsid w:val="00D33B92"/>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rmalWeb">
    <w:name w:val="Normal (Web)"/>
    <w:basedOn w:val="Normal"/>
    <w:uiPriority w:val="99"/>
    <w:unhideWhenUsed/>
    <w:rsid w:val="00970FCB"/>
    <w:pPr>
      <w:suppressAutoHyphens w:val="0"/>
      <w:spacing w:before="100" w:beforeAutospacing="1" w:after="100" w:afterAutospacing="1"/>
    </w:pPr>
    <w:rPr>
      <w:rFonts w:eastAsiaTheme="minorEastAsia" w:cs="Times New Roman"/>
      <w:sz w:val="24"/>
      <w:lang w:eastAsia="fr-FR"/>
    </w:rPr>
  </w:style>
  <w:style w:type="table" w:styleId="Listemoyenne1-Accent6">
    <w:name w:val="Medium List 1 Accent 6"/>
    <w:basedOn w:val="TableauNormal"/>
    <w:uiPriority w:val="65"/>
    <w:rsid w:val="008904F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mbrageclair">
    <w:name w:val="Light Shading"/>
    <w:basedOn w:val="TableauNormal"/>
    <w:uiPriority w:val="60"/>
    <w:rsid w:val="004169C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6375">
      <w:bodyDiv w:val="1"/>
      <w:marLeft w:val="0"/>
      <w:marRight w:val="0"/>
      <w:marTop w:val="0"/>
      <w:marBottom w:val="0"/>
      <w:divBdr>
        <w:top w:val="none" w:sz="0" w:space="0" w:color="auto"/>
        <w:left w:val="none" w:sz="0" w:space="0" w:color="auto"/>
        <w:bottom w:val="none" w:sz="0" w:space="0" w:color="auto"/>
        <w:right w:val="none" w:sz="0" w:space="0" w:color="auto"/>
      </w:divBdr>
    </w:div>
    <w:div w:id="157038154">
      <w:bodyDiv w:val="1"/>
      <w:marLeft w:val="0"/>
      <w:marRight w:val="0"/>
      <w:marTop w:val="0"/>
      <w:marBottom w:val="0"/>
      <w:divBdr>
        <w:top w:val="none" w:sz="0" w:space="0" w:color="auto"/>
        <w:left w:val="none" w:sz="0" w:space="0" w:color="auto"/>
        <w:bottom w:val="none" w:sz="0" w:space="0" w:color="auto"/>
        <w:right w:val="none" w:sz="0" w:space="0" w:color="auto"/>
      </w:divBdr>
    </w:div>
    <w:div w:id="162284141">
      <w:bodyDiv w:val="1"/>
      <w:marLeft w:val="0"/>
      <w:marRight w:val="0"/>
      <w:marTop w:val="0"/>
      <w:marBottom w:val="0"/>
      <w:divBdr>
        <w:top w:val="none" w:sz="0" w:space="0" w:color="auto"/>
        <w:left w:val="none" w:sz="0" w:space="0" w:color="auto"/>
        <w:bottom w:val="none" w:sz="0" w:space="0" w:color="auto"/>
        <w:right w:val="none" w:sz="0" w:space="0" w:color="auto"/>
      </w:divBdr>
    </w:div>
    <w:div w:id="174463581">
      <w:bodyDiv w:val="1"/>
      <w:marLeft w:val="0"/>
      <w:marRight w:val="0"/>
      <w:marTop w:val="0"/>
      <w:marBottom w:val="0"/>
      <w:divBdr>
        <w:top w:val="none" w:sz="0" w:space="0" w:color="auto"/>
        <w:left w:val="none" w:sz="0" w:space="0" w:color="auto"/>
        <w:bottom w:val="none" w:sz="0" w:space="0" w:color="auto"/>
        <w:right w:val="none" w:sz="0" w:space="0" w:color="auto"/>
      </w:divBdr>
    </w:div>
    <w:div w:id="192153944">
      <w:bodyDiv w:val="1"/>
      <w:marLeft w:val="0"/>
      <w:marRight w:val="0"/>
      <w:marTop w:val="0"/>
      <w:marBottom w:val="0"/>
      <w:divBdr>
        <w:top w:val="none" w:sz="0" w:space="0" w:color="auto"/>
        <w:left w:val="none" w:sz="0" w:space="0" w:color="auto"/>
        <w:bottom w:val="none" w:sz="0" w:space="0" w:color="auto"/>
        <w:right w:val="none" w:sz="0" w:space="0" w:color="auto"/>
      </w:divBdr>
    </w:div>
    <w:div w:id="288055547">
      <w:bodyDiv w:val="1"/>
      <w:marLeft w:val="0"/>
      <w:marRight w:val="0"/>
      <w:marTop w:val="0"/>
      <w:marBottom w:val="0"/>
      <w:divBdr>
        <w:top w:val="none" w:sz="0" w:space="0" w:color="auto"/>
        <w:left w:val="none" w:sz="0" w:space="0" w:color="auto"/>
        <w:bottom w:val="none" w:sz="0" w:space="0" w:color="auto"/>
        <w:right w:val="none" w:sz="0" w:space="0" w:color="auto"/>
      </w:divBdr>
    </w:div>
    <w:div w:id="297565295">
      <w:bodyDiv w:val="1"/>
      <w:marLeft w:val="0"/>
      <w:marRight w:val="0"/>
      <w:marTop w:val="0"/>
      <w:marBottom w:val="0"/>
      <w:divBdr>
        <w:top w:val="none" w:sz="0" w:space="0" w:color="auto"/>
        <w:left w:val="none" w:sz="0" w:space="0" w:color="auto"/>
        <w:bottom w:val="none" w:sz="0" w:space="0" w:color="auto"/>
        <w:right w:val="none" w:sz="0" w:space="0" w:color="auto"/>
      </w:divBdr>
    </w:div>
    <w:div w:id="343289697">
      <w:bodyDiv w:val="1"/>
      <w:marLeft w:val="0"/>
      <w:marRight w:val="0"/>
      <w:marTop w:val="0"/>
      <w:marBottom w:val="0"/>
      <w:divBdr>
        <w:top w:val="none" w:sz="0" w:space="0" w:color="auto"/>
        <w:left w:val="none" w:sz="0" w:space="0" w:color="auto"/>
        <w:bottom w:val="none" w:sz="0" w:space="0" w:color="auto"/>
        <w:right w:val="none" w:sz="0" w:space="0" w:color="auto"/>
      </w:divBdr>
    </w:div>
    <w:div w:id="450904424">
      <w:bodyDiv w:val="1"/>
      <w:marLeft w:val="0"/>
      <w:marRight w:val="0"/>
      <w:marTop w:val="0"/>
      <w:marBottom w:val="0"/>
      <w:divBdr>
        <w:top w:val="none" w:sz="0" w:space="0" w:color="auto"/>
        <w:left w:val="none" w:sz="0" w:space="0" w:color="auto"/>
        <w:bottom w:val="none" w:sz="0" w:space="0" w:color="auto"/>
        <w:right w:val="none" w:sz="0" w:space="0" w:color="auto"/>
      </w:divBdr>
    </w:div>
    <w:div w:id="518471495">
      <w:bodyDiv w:val="1"/>
      <w:marLeft w:val="0"/>
      <w:marRight w:val="0"/>
      <w:marTop w:val="0"/>
      <w:marBottom w:val="0"/>
      <w:divBdr>
        <w:top w:val="none" w:sz="0" w:space="0" w:color="auto"/>
        <w:left w:val="none" w:sz="0" w:space="0" w:color="auto"/>
        <w:bottom w:val="none" w:sz="0" w:space="0" w:color="auto"/>
        <w:right w:val="none" w:sz="0" w:space="0" w:color="auto"/>
      </w:divBdr>
    </w:div>
    <w:div w:id="540482629">
      <w:bodyDiv w:val="1"/>
      <w:marLeft w:val="0"/>
      <w:marRight w:val="0"/>
      <w:marTop w:val="0"/>
      <w:marBottom w:val="0"/>
      <w:divBdr>
        <w:top w:val="none" w:sz="0" w:space="0" w:color="auto"/>
        <w:left w:val="none" w:sz="0" w:space="0" w:color="auto"/>
        <w:bottom w:val="none" w:sz="0" w:space="0" w:color="auto"/>
        <w:right w:val="none" w:sz="0" w:space="0" w:color="auto"/>
      </w:divBdr>
    </w:div>
    <w:div w:id="563875958">
      <w:bodyDiv w:val="1"/>
      <w:marLeft w:val="0"/>
      <w:marRight w:val="0"/>
      <w:marTop w:val="0"/>
      <w:marBottom w:val="0"/>
      <w:divBdr>
        <w:top w:val="none" w:sz="0" w:space="0" w:color="auto"/>
        <w:left w:val="none" w:sz="0" w:space="0" w:color="auto"/>
        <w:bottom w:val="none" w:sz="0" w:space="0" w:color="auto"/>
        <w:right w:val="none" w:sz="0" w:space="0" w:color="auto"/>
      </w:divBdr>
    </w:div>
    <w:div w:id="681320414">
      <w:bodyDiv w:val="1"/>
      <w:marLeft w:val="0"/>
      <w:marRight w:val="0"/>
      <w:marTop w:val="0"/>
      <w:marBottom w:val="0"/>
      <w:divBdr>
        <w:top w:val="none" w:sz="0" w:space="0" w:color="auto"/>
        <w:left w:val="none" w:sz="0" w:space="0" w:color="auto"/>
        <w:bottom w:val="none" w:sz="0" w:space="0" w:color="auto"/>
        <w:right w:val="none" w:sz="0" w:space="0" w:color="auto"/>
      </w:divBdr>
    </w:div>
    <w:div w:id="690227529">
      <w:bodyDiv w:val="1"/>
      <w:marLeft w:val="0"/>
      <w:marRight w:val="0"/>
      <w:marTop w:val="0"/>
      <w:marBottom w:val="0"/>
      <w:divBdr>
        <w:top w:val="none" w:sz="0" w:space="0" w:color="auto"/>
        <w:left w:val="none" w:sz="0" w:space="0" w:color="auto"/>
        <w:bottom w:val="none" w:sz="0" w:space="0" w:color="auto"/>
        <w:right w:val="none" w:sz="0" w:space="0" w:color="auto"/>
      </w:divBdr>
    </w:div>
    <w:div w:id="706874933">
      <w:bodyDiv w:val="1"/>
      <w:marLeft w:val="0"/>
      <w:marRight w:val="0"/>
      <w:marTop w:val="0"/>
      <w:marBottom w:val="0"/>
      <w:divBdr>
        <w:top w:val="none" w:sz="0" w:space="0" w:color="auto"/>
        <w:left w:val="none" w:sz="0" w:space="0" w:color="auto"/>
        <w:bottom w:val="none" w:sz="0" w:space="0" w:color="auto"/>
        <w:right w:val="none" w:sz="0" w:space="0" w:color="auto"/>
      </w:divBdr>
    </w:div>
    <w:div w:id="708187075">
      <w:bodyDiv w:val="1"/>
      <w:marLeft w:val="0"/>
      <w:marRight w:val="0"/>
      <w:marTop w:val="0"/>
      <w:marBottom w:val="0"/>
      <w:divBdr>
        <w:top w:val="none" w:sz="0" w:space="0" w:color="auto"/>
        <w:left w:val="none" w:sz="0" w:space="0" w:color="auto"/>
        <w:bottom w:val="none" w:sz="0" w:space="0" w:color="auto"/>
        <w:right w:val="none" w:sz="0" w:space="0" w:color="auto"/>
      </w:divBdr>
    </w:div>
    <w:div w:id="725303512">
      <w:bodyDiv w:val="1"/>
      <w:marLeft w:val="0"/>
      <w:marRight w:val="0"/>
      <w:marTop w:val="0"/>
      <w:marBottom w:val="0"/>
      <w:divBdr>
        <w:top w:val="none" w:sz="0" w:space="0" w:color="auto"/>
        <w:left w:val="none" w:sz="0" w:space="0" w:color="auto"/>
        <w:bottom w:val="none" w:sz="0" w:space="0" w:color="auto"/>
        <w:right w:val="none" w:sz="0" w:space="0" w:color="auto"/>
      </w:divBdr>
    </w:div>
    <w:div w:id="763843863">
      <w:bodyDiv w:val="1"/>
      <w:marLeft w:val="0"/>
      <w:marRight w:val="0"/>
      <w:marTop w:val="0"/>
      <w:marBottom w:val="0"/>
      <w:divBdr>
        <w:top w:val="none" w:sz="0" w:space="0" w:color="auto"/>
        <w:left w:val="none" w:sz="0" w:space="0" w:color="auto"/>
        <w:bottom w:val="none" w:sz="0" w:space="0" w:color="auto"/>
        <w:right w:val="none" w:sz="0" w:space="0" w:color="auto"/>
      </w:divBdr>
    </w:div>
    <w:div w:id="782723048">
      <w:bodyDiv w:val="1"/>
      <w:marLeft w:val="0"/>
      <w:marRight w:val="0"/>
      <w:marTop w:val="0"/>
      <w:marBottom w:val="0"/>
      <w:divBdr>
        <w:top w:val="none" w:sz="0" w:space="0" w:color="auto"/>
        <w:left w:val="none" w:sz="0" w:space="0" w:color="auto"/>
        <w:bottom w:val="none" w:sz="0" w:space="0" w:color="auto"/>
        <w:right w:val="none" w:sz="0" w:space="0" w:color="auto"/>
      </w:divBdr>
    </w:div>
    <w:div w:id="834877276">
      <w:bodyDiv w:val="1"/>
      <w:marLeft w:val="0"/>
      <w:marRight w:val="0"/>
      <w:marTop w:val="0"/>
      <w:marBottom w:val="0"/>
      <w:divBdr>
        <w:top w:val="none" w:sz="0" w:space="0" w:color="auto"/>
        <w:left w:val="none" w:sz="0" w:space="0" w:color="auto"/>
        <w:bottom w:val="none" w:sz="0" w:space="0" w:color="auto"/>
        <w:right w:val="none" w:sz="0" w:space="0" w:color="auto"/>
      </w:divBdr>
    </w:div>
    <w:div w:id="896598352">
      <w:bodyDiv w:val="1"/>
      <w:marLeft w:val="0"/>
      <w:marRight w:val="0"/>
      <w:marTop w:val="0"/>
      <w:marBottom w:val="0"/>
      <w:divBdr>
        <w:top w:val="none" w:sz="0" w:space="0" w:color="auto"/>
        <w:left w:val="none" w:sz="0" w:space="0" w:color="auto"/>
        <w:bottom w:val="none" w:sz="0" w:space="0" w:color="auto"/>
        <w:right w:val="none" w:sz="0" w:space="0" w:color="auto"/>
      </w:divBdr>
    </w:div>
    <w:div w:id="966204682">
      <w:bodyDiv w:val="1"/>
      <w:marLeft w:val="0"/>
      <w:marRight w:val="0"/>
      <w:marTop w:val="0"/>
      <w:marBottom w:val="0"/>
      <w:divBdr>
        <w:top w:val="none" w:sz="0" w:space="0" w:color="auto"/>
        <w:left w:val="none" w:sz="0" w:space="0" w:color="auto"/>
        <w:bottom w:val="none" w:sz="0" w:space="0" w:color="auto"/>
        <w:right w:val="none" w:sz="0" w:space="0" w:color="auto"/>
      </w:divBdr>
    </w:div>
    <w:div w:id="990984270">
      <w:bodyDiv w:val="1"/>
      <w:marLeft w:val="0"/>
      <w:marRight w:val="0"/>
      <w:marTop w:val="0"/>
      <w:marBottom w:val="0"/>
      <w:divBdr>
        <w:top w:val="none" w:sz="0" w:space="0" w:color="auto"/>
        <w:left w:val="none" w:sz="0" w:space="0" w:color="auto"/>
        <w:bottom w:val="none" w:sz="0" w:space="0" w:color="auto"/>
        <w:right w:val="none" w:sz="0" w:space="0" w:color="auto"/>
      </w:divBdr>
    </w:div>
    <w:div w:id="999231913">
      <w:bodyDiv w:val="1"/>
      <w:marLeft w:val="0"/>
      <w:marRight w:val="0"/>
      <w:marTop w:val="0"/>
      <w:marBottom w:val="0"/>
      <w:divBdr>
        <w:top w:val="none" w:sz="0" w:space="0" w:color="auto"/>
        <w:left w:val="none" w:sz="0" w:space="0" w:color="auto"/>
        <w:bottom w:val="none" w:sz="0" w:space="0" w:color="auto"/>
        <w:right w:val="none" w:sz="0" w:space="0" w:color="auto"/>
      </w:divBdr>
    </w:div>
    <w:div w:id="1064597073">
      <w:bodyDiv w:val="1"/>
      <w:marLeft w:val="0"/>
      <w:marRight w:val="0"/>
      <w:marTop w:val="0"/>
      <w:marBottom w:val="0"/>
      <w:divBdr>
        <w:top w:val="none" w:sz="0" w:space="0" w:color="auto"/>
        <w:left w:val="none" w:sz="0" w:space="0" w:color="auto"/>
        <w:bottom w:val="none" w:sz="0" w:space="0" w:color="auto"/>
        <w:right w:val="none" w:sz="0" w:space="0" w:color="auto"/>
      </w:divBdr>
    </w:div>
    <w:div w:id="1080061928">
      <w:bodyDiv w:val="1"/>
      <w:marLeft w:val="0"/>
      <w:marRight w:val="0"/>
      <w:marTop w:val="0"/>
      <w:marBottom w:val="0"/>
      <w:divBdr>
        <w:top w:val="none" w:sz="0" w:space="0" w:color="auto"/>
        <w:left w:val="none" w:sz="0" w:space="0" w:color="auto"/>
        <w:bottom w:val="none" w:sz="0" w:space="0" w:color="auto"/>
        <w:right w:val="none" w:sz="0" w:space="0" w:color="auto"/>
      </w:divBdr>
    </w:div>
    <w:div w:id="1100569325">
      <w:bodyDiv w:val="1"/>
      <w:marLeft w:val="0"/>
      <w:marRight w:val="0"/>
      <w:marTop w:val="0"/>
      <w:marBottom w:val="0"/>
      <w:divBdr>
        <w:top w:val="none" w:sz="0" w:space="0" w:color="auto"/>
        <w:left w:val="none" w:sz="0" w:space="0" w:color="auto"/>
        <w:bottom w:val="none" w:sz="0" w:space="0" w:color="auto"/>
        <w:right w:val="none" w:sz="0" w:space="0" w:color="auto"/>
      </w:divBdr>
    </w:div>
    <w:div w:id="1113591755">
      <w:bodyDiv w:val="1"/>
      <w:marLeft w:val="0"/>
      <w:marRight w:val="0"/>
      <w:marTop w:val="0"/>
      <w:marBottom w:val="0"/>
      <w:divBdr>
        <w:top w:val="none" w:sz="0" w:space="0" w:color="auto"/>
        <w:left w:val="none" w:sz="0" w:space="0" w:color="auto"/>
        <w:bottom w:val="none" w:sz="0" w:space="0" w:color="auto"/>
        <w:right w:val="none" w:sz="0" w:space="0" w:color="auto"/>
      </w:divBdr>
    </w:div>
    <w:div w:id="1383138534">
      <w:bodyDiv w:val="1"/>
      <w:marLeft w:val="0"/>
      <w:marRight w:val="0"/>
      <w:marTop w:val="0"/>
      <w:marBottom w:val="0"/>
      <w:divBdr>
        <w:top w:val="none" w:sz="0" w:space="0" w:color="auto"/>
        <w:left w:val="none" w:sz="0" w:space="0" w:color="auto"/>
        <w:bottom w:val="none" w:sz="0" w:space="0" w:color="auto"/>
        <w:right w:val="none" w:sz="0" w:space="0" w:color="auto"/>
      </w:divBdr>
    </w:div>
    <w:div w:id="1401560976">
      <w:bodyDiv w:val="1"/>
      <w:marLeft w:val="0"/>
      <w:marRight w:val="0"/>
      <w:marTop w:val="0"/>
      <w:marBottom w:val="0"/>
      <w:divBdr>
        <w:top w:val="none" w:sz="0" w:space="0" w:color="auto"/>
        <w:left w:val="none" w:sz="0" w:space="0" w:color="auto"/>
        <w:bottom w:val="none" w:sz="0" w:space="0" w:color="auto"/>
        <w:right w:val="none" w:sz="0" w:space="0" w:color="auto"/>
      </w:divBdr>
    </w:div>
    <w:div w:id="1414474832">
      <w:bodyDiv w:val="1"/>
      <w:marLeft w:val="0"/>
      <w:marRight w:val="0"/>
      <w:marTop w:val="0"/>
      <w:marBottom w:val="0"/>
      <w:divBdr>
        <w:top w:val="none" w:sz="0" w:space="0" w:color="auto"/>
        <w:left w:val="none" w:sz="0" w:space="0" w:color="auto"/>
        <w:bottom w:val="none" w:sz="0" w:space="0" w:color="auto"/>
        <w:right w:val="none" w:sz="0" w:space="0" w:color="auto"/>
      </w:divBdr>
    </w:div>
    <w:div w:id="1448039495">
      <w:bodyDiv w:val="1"/>
      <w:marLeft w:val="0"/>
      <w:marRight w:val="0"/>
      <w:marTop w:val="0"/>
      <w:marBottom w:val="0"/>
      <w:divBdr>
        <w:top w:val="none" w:sz="0" w:space="0" w:color="auto"/>
        <w:left w:val="none" w:sz="0" w:space="0" w:color="auto"/>
        <w:bottom w:val="none" w:sz="0" w:space="0" w:color="auto"/>
        <w:right w:val="none" w:sz="0" w:space="0" w:color="auto"/>
      </w:divBdr>
    </w:div>
    <w:div w:id="1472288917">
      <w:bodyDiv w:val="1"/>
      <w:marLeft w:val="0"/>
      <w:marRight w:val="0"/>
      <w:marTop w:val="0"/>
      <w:marBottom w:val="0"/>
      <w:divBdr>
        <w:top w:val="none" w:sz="0" w:space="0" w:color="auto"/>
        <w:left w:val="none" w:sz="0" w:space="0" w:color="auto"/>
        <w:bottom w:val="none" w:sz="0" w:space="0" w:color="auto"/>
        <w:right w:val="none" w:sz="0" w:space="0" w:color="auto"/>
      </w:divBdr>
    </w:div>
    <w:div w:id="1480003825">
      <w:bodyDiv w:val="1"/>
      <w:marLeft w:val="0"/>
      <w:marRight w:val="0"/>
      <w:marTop w:val="0"/>
      <w:marBottom w:val="0"/>
      <w:divBdr>
        <w:top w:val="none" w:sz="0" w:space="0" w:color="auto"/>
        <w:left w:val="none" w:sz="0" w:space="0" w:color="auto"/>
        <w:bottom w:val="none" w:sz="0" w:space="0" w:color="auto"/>
        <w:right w:val="none" w:sz="0" w:space="0" w:color="auto"/>
      </w:divBdr>
    </w:div>
    <w:div w:id="1602644620">
      <w:bodyDiv w:val="1"/>
      <w:marLeft w:val="0"/>
      <w:marRight w:val="0"/>
      <w:marTop w:val="0"/>
      <w:marBottom w:val="0"/>
      <w:divBdr>
        <w:top w:val="none" w:sz="0" w:space="0" w:color="auto"/>
        <w:left w:val="none" w:sz="0" w:space="0" w:color="auto"/>
        <w:bottom w:val="none" w:sz="0" w:space="0" w:color="auto"/>
        <w:right w:val="none" w:sz="0" w:space="0" w:color="auto"/>
      </w:divBdr>
    </w:div>
    <w:div w:id="1612201075">
      <w:bodyDiv w:val="1"/>
      <w:marLeft w:val="0"/>
      <w:marRight w:val="0"/>
      <w:marTop w:val="0"/>
      <w:marBottom w:val="0"/>
      <w:divBdr>
        <w:top w:val="none" w:sz="0" w:space="0" w:color="auto"/>
        <w:left w:val="none" w:sz="0" w:space="0" w:color="auto"/>
        <w:bottom w:val="none" w:sz="0" w:space="0" w:color="auto"/>
        <w:right w:val="none" w:sz="0" w:space="0" w:color="auto"/>
      </w:divBdr>
    </w:div>
    <w:div w:id="1643660135">
      <w:bodyDiv w:val="1"/>
      <w:marLeft w:val="0"/>
      <w:marRight w:val="0"/>
      <w:marTop w:val="0"/>
      <w:marBottom w:val="0"/>
      <w:divBdr>
        <w:top w:val="none" w:sz="0" w:space="0" w:color="auto"/>
        <w:left w:val="none" w:sz="0" w:space="0" w:color="auto"/>
        <w:bottom w:val="none" w:sz="0" w:space="0" w:color="auto"/>
        <w:right w:val="none" w:sz="0" w:space="0" w:color="auto"/>
      </w:divBdr>
    </w:div>
    <w:div w:id="1759208976">
      <w:bodyDiv w:val="1"/>
      <w:marLeft w:val="0"/>
      <w:marRight w:val="0"/>
      <w:marTop w:val="0"/>
      <w:marBottom w:val="0"/>
      <w:divBdr>
        <w:top w:val="none" w:sz="0" w:space="0" w:color="auto"/>
        <w:left w:val="none" w:sz="0" w:space="0" w:color="auto"/>
        <w:bottom w:val="none" w:sz="0" w:space="0" w:color="auto"/>
        <w:right w:val="none" w:sz="0" w:space="0" w:color="auto"/>
      </w:divBdr>
    </w:div>
    <w:div w:id="1882664903">
      <w:bodyDiv w:val="1"/>
      <w:marLeft w:val="0"/>
      <w:marRight w:val="0"/>
      <w:marTop w:val="0"/>
      <w:marBottom w:val="0"/>
      <w:divBdr>
        <w:top w:val="none" w:sz="0" w:space="0" w:color="auto"/>
        <w:left w:val="none" w:sz="0" w:space="0" w:color="auto"/>
        <w:bottom w:val="none" w:sz="0" w:space="0" w:color="auto"/>
        <w:right w:val="none" w:sz="0" w:space="0" w:color="auto"/>
      </w:divBdr>
    </w:div>
    <w:div w:id="1957829876">
      <w:bodyDiv w:val="1"/>
      <w:marLeft w:val="0"/>
      <w:marRight w:val="0"/>
      <w:marTop w:val="0"/>
      <w:marBottom w:val="0"/>
      <w:divBdr>
        <w:top w:val="none" w:sz="0" w:space="0" w:color="auto"/>
        <w:left w:val="none" w:sz="0" w:space="0" w:color="auto"/>
        <w:bottom w:val="none" w:sz="0" w:space="0" w:color="auto"/>
        <w:right w:val="none" w:sz="0" w:space="0" w:color="auto"/>
      </w:divBdr>
    </w:div>
    <w:div w:id="196977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image" Target="media/image10.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5.xm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emf"/><Relationship Id="rId36" Type="http://schemas.openxmlformats.org/officeDocument/2006/relationships/image" Target="media/image8.emf"/><Relationship Id="rId49" Type="http://schemas.openxmlformats.org/officeDocument/2006/relationships/image" Target="media/image20.emf"/><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7.xml"/><Relationship Id="rId44" Type="http://schemas.openxmlformats.org/officeDocument/2006/relationships/image" Target="media/image16.em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5.emf"/><Relationship Id="rId30" Type="http://schemas.openxmlformats.org/officeDocument/2006/relationships/chart" Target="charts/chart16.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Borgo!$C$1</c:f>
              <c:strCache>
                <c:ptCount val="1"/>
                <c:pt idx="0">
                  <c:v>Pluviométrie</c:v>
                </c:pt>
              </c:strCache>
            </c:strRef>
          </c:tx>
          <c:spPr>
            <a:solidFill>
              <a:schemeClr val="tx2"/>
            </a:solidFill>
          </c:spPr>
          <c:invertIfNegative val="0"/>
          <c:cat>
            <c:numRef>
              <c:f>Borgo!$A$2:$A$363</c:f>
              <c:numCache>
                <c:formatCode>m/d/yyyy</c:formatCode>
                <c:ptCount val="362"/>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42289</c:v>
                </c:pt>
                <c:pt idx="282">
                  <c:v>42290</c:v>
                </c:pt>
                <c:pt idx="283">
                  <c:v>42291</c:v>
                </c:pt>
                <c:pt idx="284">
                  <c:v>42292</c:v>
                </c:pt>
                <c:pt idx="285">
                  <c:v>42293</c:v>
                </c:pt>
                <c:pt idx="286">
                  <c:v>42294</c:v>
                </c:pt>
                <c:pt idx="287">
                  <c:v>42295</c:v>
                </c:pt>
                <c:pt idx="288">
                  <c:v>42296</c:v>
                </c:pt>
                <c:pt idx="289">
                  <c:v>42297</c:v>
                </c:pt>
                <c:pt idx="290">
                  <c:v>42298</c:v>
                </c:pt>
                <c:pt idx="291">
                  <c:v>42299</c:v>
                </c:pt>
                <c:pt idx="292">
                  <c:v>42300</c:v>
                </c:pt>
                <c:pt idx="293">
                  <c:v>42301</c:v>
                </c:pt>
                <c:pt idx="294">
                  <c:v>42302</c:v>
                </c:pt>
                <c:pt idx="295">
                  <c:v>42303</c:v>
                </c:pt>
                <c:pt idx="296">
                  <c:v>42304</c:v>
                </c:pt>
                <c:pt idx="297">
                  <c:v>42305</c:v>
                </c:pt>
                <c:pt idx="298">
                  <c:v>42306</c:v>
                </c:pt>
                <c:pt idx="299">
                  <c:v>42307</c:v>
                </c:pt>
                <c:pt idx="300">
                  <c:v>42308</c:v>
                </c:pt>
                <c:pt idx="301">
                  <c:v>42309</c:v>
                </c:pt>
                <c:pt idx="302">
                  <c:v>42310</c:v>
                </c:pt>
                <c:pt idx="303">
                  <c:v>42311</c:v>
                </c:pt>
                <c:pt idx="304">
                  <c:v>42312</c:v>
                </c:pt>
                <c:pt idx="305">
                  <c:v>42313</c:v>
                </c:pt>
                <c:pt idx="306">
                  <c:v>42314</c:v>
                </c:pt>
                <c:pt idx="307">
                  <c:v>42315</c:v>
                </c:pt>
                <c:pt idx="308">
                  <c:v>42316</c:v>
                </c:pt>
                <c:pt idx="309">
                  <c:v>42317</c:v>
                </c:pt>
                <c:pt idx="310">
                  <c:v>42318</c:v>
                </c:pt>
                <c:pt idx="311">
                  <c:v>42319</c:v>
                </c:pt>
                <c:pt idx="312">
                  <c:v>42320</c:v>
                </c:pt>
                <c:pt idx="313">
                  <c:v>42321</c:v>
                </c:pt>
                <c:pt idx="314">
                  <c:v>42322</c:v>
                </c:pt>
                <c:pt idx="315">
                  <c:v>42323</c:v>
                </c:pt>
                <c:pt idx="316">
                  <c:v>42324</c:v>
                </c:pt>
                <c:pt idx="317">
                  <c:v>42325</c:v>
                </c:pt>
                <c:pt idx="318">
                  <c:v>42326</c:v>
                </c:pt>
                <c:pt idx="319">
                  <c:v>42327</c:v>
                </c:pt>
                <c:pt idx="320">
                  <c:v>42328</c:v>
                </c:pt>
                <c:pt idx="321">
                  <c:v>42329</c:v>
                </c:pt>
                <c:pt idx="322">
                  <c:v>42330</c:v>
                </c:pt>
                <c:pt idx="323">
                  <c:v>42331</c:v>
                </c:pt>
                <c:pt idx="324">
                  <c:v>42332</c:v>
                </c:pt>
                <c:pt idx="325">
                  <c:v>42333</c:v>
                </c:pt>
                <c:pt idx="326">
                  <c:v>42334</c:v>
                </c:pt>
                <c:pt idx="327">
                  <c:v>42335</c:v>
                </c:pt>
                <c:pt idx="328">
                  <c:v>42336</c:v>
                </c:pt>
                <c:pt idx="329">
                  <c:v>42337</c:v>
                </c:pt>
                <c:pt idx="330">
                  <c:v>42338</c:v>
                </c:pt>
                <c:pt idx="331">
                  <c:v>42339</c:v>
                </c:pt>
                <c:pt idx="332">
                  <c:v>42340</c:v>
                </c:pt>
                <c:pt idx="333">
                  <c:v>42341</c:v>
                </c:pt>
                <c:pt idx="334">
                  <c:v>42342</c:v>
                </c:pt>
                <c:pt idx="335">
                  <c:v>42343</c:v>
                </c:pt>
                <c:pt idx="336">
                  <c:v>42344</c:v>
                </c:pt>
                <c:pt idx="337">
                  <c:v>42345</c:v>
                </c:pt>
                <c:pt idx="338">
                  <c:v>42346</c:v>
                </c:pt>
                <c:pt idx="339">
                  <c:v>42347</c:v>
                </c:pt>
                <c:pt idx="340">
                  <c:v>42348</c:v>
                </c:pt>
                <c:pt idx="341">
                  <c:v>42349</c:v>
                </c:pt>
                <c:pt idx="342">
                  <c:v>42350</c:v>
                </c:pt>
                <c:pt idx="343">
                  <c:v>42351</c:v>
                </c:pt>
                <c:pt idx="344">
                  <c:v>42352</c:v>
                </c:pt>
                <c:pt idx="345">
                  <c:v>42353</c:v>
                </c:pt>
                <c:pt idx="346">
                  <c:v>42354</c:v>
                </c:pt>
                <c:pt idx="347">
                  <c:v>42355</c:v>
                </c:pt>
                <c:pt idx="348">
                  <c:v>42356</c:v>
                </c:pt>
                <c:pt idx="349">
                  <c:v>42357</c:v>
                </c:pt>
                <c:pt idx="350">
                  <c:v>42358</c:v>
                </c:pt>
                <c:pt idx="351">
                  <c:v>42359</c:v>
                </c:pt>
                <c:pt idx="352">
                  <c:v>42360</c:v>
                </c:pt>
                <c:pt idx="353">
                  <c:v>42361</c:v>
                </c:pt>
                <c:pt idx="354">
                  <c:v>42362</c:v>
                </c:pt>
                <c:pt idx="355">
                  <c:v>42363</c:v>
                </c:pt>
                <c:pt idx="356">
                  <c:v>42364</c:v>
                </c:pt>
                <c:pt idx="357">
                  <c:v>42365</c:v>
                </c:pt>
                <c:pt idx="358">
                  <c:v>42366</c:v>
                </c:pt>
                <c:pt idx="359">
                  <c:v>42367</c:v>
                </c:pt>
                <c:pt idx="360">
                  <c:v>42368</c:v>
                </c:pt>
                <c:pt idx="361">
                  <c:v>42369</c:v>
                </c:pt>
              </c:numCache>
            </c:numRef>
          </c:cat>
          <c:val>
            <c:numRef>
              <c:f>Borgo!$C$2:$C$363</c:f>
              <c:numCache>
                <c:formatCode>General</c:formatCode>
                <c:ptCount val="36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0.5</c:v>
                </c:pt>
                <c:pt idx="16">
                  <c:v>0</c:v>
                </c:pt>
                <c:pt idx="17">
                  <c:v>0</c:v>
                </c:pt>
                <c:pt idx="18">
                  <c:v>0</c:v>
                </c:pt>
                <c:pt idx="19">
                  <c:v>5</c:v>
                </c:pt>
                <c:pt idx="20">
                  <c:v>6.5</c:v>
                </c:pt>
                <c:pt idx="21">
                  <c:v>12</c:v>
                </c:pt>
                <c:pt idx="22">
                  <c:v>0</c:v>
                </c:pt>
                <c:pt idx="23">
                  <c:v>0</c:v>
                </c:pt>
                <c:pt idx="24">
                  <c:v>0</c:v>
                </c:pt>
                <c:pt idx="25">
                  <c:v>0</c:v>
                </c:pt>
                <c:pt idx="26">
                  <c:v>0</c:v>
                </c:pt>
                <c:pt idx="27">
                  <c:v>0</c:v>
                </c:pt>
                <c:pt idx="28">
                  <c:v>7</c:v>
                </c:pt>
                <c:pt idx="29">
                  <c:v>3</c:v>
                </c:pt>
                <c:pt idx="30">
                  <c:v>2.5</c:v>
                </c:pt>
                <c:pt idx="31">
                  <c:v>0.5</c:v>
                </c:pt>
                <c:pt idx="32">
                  <c:v>0</c:v>
                </c:pt>
                <c:pt idx="33">
                  <c:v>2</c:v>
                </c:pt>
                <c:pt idx="34">
                  <c:v>2.5</c:v>
                </c:pt>
                <c:pt idx="35">
                  <c:v>1.5</c:v>
                </c:pt>
                <c:pt idx="36">
                  <c:v>0.5</c:v>
                </c:pt>
                <c:pt idx="37">
                  <c:v>0</c:v>
                </c:pt>
                <c:pt idx="38">
                  <c:v>0.5</c:v>
                </c:pt>
                <c:pt idx="39">
                  <c:v>0</c:v>
                </c:pt>
                <c:pt idx="40">
                  <c:v>0</c:v>
                </c:pt>
                <c:pt idx="41">
                  <c:v>0</c:v>
                </c:pt>
                <c:pt idx="42">
                  <c:v>0</c:v>
                </c:pt>
                <c:pt idx="43">
                  <c:v>0</c:v>
                </c:pt>
                <c:pt idx="44">
                  <c:v>0</c:v>
                </c:pt>
                <c:pt idx="45">
                  <c:v>0</c:v>
                </c:pt>
                <c:pt idx="46">
                  <c:v>0</c:v>
                </c:pt>
                <c:pt idx="47">
                  <c:v>0</c:v>
                </c:pt>
                <c:pt idx="48">
                  <c:v>0</c:v>
                </c:pt>
                <c:pt idx="49">
                  <c:v>0</c:v>
                </c:pt>
                <c:pt idx="50">
                  <c:v>0.5</c:v>
                </c:pt>
                <c:pt idx="51">
                  <c:v>0</c:v>
                </c:pt>
                <c:pt idx="52">
                  <c:v>0</c:v>
                </c:pt>
                <c:pt idx="53">
                  <c:v>0</c:v>
                </c:pt>
                <c:pt idx="54">
                  <c:v>0.5</c:v>
                </c:pt>
                <c:pt idx="55">
                  <c:v>1.5</c:v>
                </c:pt>
                <c:pt idx="56">
                  <c:v>0</c:v>
                </c:pt>
                <c:pt idx="57">
                  <c:v>0</c:v>
                </c:pt>
                <c:pt idx="58">
                  <c:v>0</c:v>
                </c:pt>
                <c:pt idx="59">
                  <c:v>0</c:v>
                </c:pt>
                <c:pt idx="60">
                  <c:v>0</c:v>
                </c:pt>
                <c:pt idx="61">
                  <c:v>0</c:v>
                </c:pt>
                <c:pt idx="62">
                  <c:v>43</c:v>
                </c:pt>
                <c:pt idx="63">
                  <c:v>0</c:v>
                </c:pt>
                <c:pt idx="64">
                  <c:v>0</c:v>
                </c:pt>
                <c:pt idx="65">
                  <c:v>0</c:v>
                </c:pt>
                <c:pt idx="66">
                  <c:v>0</c:v>
                </c:pt>
                <c:pt idx="67">
                  <c:v>0</c:v>
                </c:pt>
                <c:pt idx="68">
                  <c:v>0</c:v>
                </c:pt>
                <c:pt idx="69">
                  <c:v>0</c:v>
                </c:pt>
                <c:pt idx="70">
                  <c:v>0</c:v>
                </c:pt>
                <c:pt idx="71">
                  <c:v>0</c:v>
                </c:pt>
                <c:pt idx="72">
                  <c:v>5.5</c:v>
                </c:pt>
                <c:pt idx="73">
                  <c:v>35.5</c:v>
                </c:pt>
                <c:pt idx="74">
                  <c:v>75.5</c:v>
                </c:pt>
                <c:pt idx="75">
                  <c:v>32</c:v>
                </c:pt>
                <c:pt idx="76">
                  <c:v>0</c:v>
                </c:pt>
                <c:pt idx="77">
                  <c:v>0</c:v>
                </c:pt>
                <c:pt idx="78">
                  <c:v>0</c:v>
                </c:pt>
                <c:pt idx="79">
                  <c:v>1.5</c:v>
                </c:pt>
                <c:pt idx="80">
                  <c:v>3</c:v>
                </c:pt>
                <c:pt idx="81">
                  <c:v>0</c:v>
                </c:pt>
                <c:pt idx="82">
                  <c:v>15</c:v>
                </c:pt>
                <c:pt idx="83">
                  <c:v>36</c:v>
                </c:pt>
                <c:pt idx="84">
                  <c:v>0</c:v>
                </c:pt>
                <c:pt idx="85">
                  <c:v>0</c:v>
                </c:pt>
                <c:pt idx="86">
                  <c:v>0</c:v>
                </c:pt>
                <c:pt idx="87">
                  <c:v>0.5</c:v>
                </c:pt>
                <c:pt idx="88">
                  <c:v>0</c:v>
                </c:pt>
                <c:pt idx="89">
                  <c:v>0</c:v>
                </c:pt>
                <c:pt idx="90">
                  <c:v>0</c:v>
                </c:pt>
                <c:pt idx="91">
                  <c:v>0</c:v>
                </c:pt>
                <c:pt idx="92">
                  <c:v>0</c:v>
                </c:pt>
                <c:pt idx="93">
                  <c:v>4</c:v>
                </c:pt>
                <c:pt idx="94">
                  <c:v>1</c:v>
                </c:pt>
                <c:pt idx="95">
                  <c:v>0</c:v>
                </c:pt>
                <c:pt idx="96">
                  <c:v>0</c:v>
                </c:pt>
                <c:pt idx="97">
                  <c:v>0</c:v>
                </c:pt>
                <c:pt idx="98">
                  <c:v>0</c:v>
                </c:pt>
                <c:pt idx="99">
                  <c:v>0</c:v>
                </c:pt>
                <c:pt idx="100">
                  <c:v>0</c:v>
                </c:pt>
                <c:pt idx="101">
                  <c:v>0</c:v>
                </c:pt>
                <c:pt idx="102">
                  <c:v>0</c:v>
                </c:pt>
                <c:pt idx="103">
                  <c:v>0</c:v>
                </c:pt>
                <c:pt idx="104">
                  <c:v>0</c:v>
                </c:pt>
                <c:pt idx="105">
                  <c:v>0.5</c:v>
                </c:pt>
                <c:pt idx="106">
                  <c:v>0</c:v>
                </c:pt>
                <c:pt idx="107">
                  <c:v>0</c:v>
                </c:pt>
                <c:pt idx="108">
                  <c:v>0</c:v>
                </c:pt>
                <c:pt idx="109">
                  <c:v>0</c:v>
                </c:pt>
                <c:pt idx="110">
                  <c:v>0</c:v>
                </c:pt>
                <c:pt idx="111">
                  <c:v>0</c:v>
                </c:pt>
                <c:pt idx="112">
                  <c:v>0</c:v>
                </c:pt>
                <c:pt idx="113">
                  <c:v>0</c:v>
                </c:pt>
                <c:pt idx="114">
                  <c:v>0</c:v>
                </c:pt>
                <c:pt idx="115">
                  <c:v>1</c:v>
                </c:pt>
                <c:pt idx="116">
                  <c:v>7</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1.5</c:v>
                </c:pt>
                <c:pt idx="141">
                  <c:v>1</c:v>
                </c:pt>
                <c:pt idx="142">
                  <c:v>4</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1.5</c:v>
                </c:pt>
                <c:pt idx="160">
                  <c:v>0</c:v>
                </c:pt>
                <c:pt idx="161">
                  <c:v>0</c:v>
                </c:pt>
                <c:pt idx="162">
                  <c:v>0.5</c:v>
                </c:pt>
                <c:pt idx="163">
                  <c:v>0</c:v>
                </c:pt>
                <c:pt idx="164">
                  <c:v>0.5</c:v>
                </c:pt>
                <c:pt idx="165">
                  <c:v>27.5</c:v>
                </c:pt>
                <c:pt idx="166">
                  <c:v>2.5</c:v>
                </c:pt>
                <c:pt idx="167">
                  <c:v>0</c:v>
                </c:pt>
                <c:pt idx="168">
                  <c:v>0</c:v>
                </c:pt>
                <c:pt idx="169">
                  <c:v>0</c:v>
                </c:pt>
                <c:pt idx="170">
                  <c:v>2</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14</c:v>
                </c:pt>
                <c:pt idx="221">
                  <c:v>2</c:v>
                </c:pt>
                <c:pt idx="222">
                  <c:v>0</c:v>
                </c:pt>
                <c:pt idx="223">
                  <c:v>0</c:v>
                </c:pt>
                <c:pt idx="224">
                  <c:v>0</c:v>
                </c:pt>
                <c:pt idx="225">
                  <c:v>0.2</c:v>
                </c:pt>
                <c:pt idx="226">
                  <c:v>2.2000000000000002</c:v>
                </c:pt>
                <c:pt idx="227">
                  <c:v>4.5999999999999996</c:v>
                </c:pt>
                <c:pt idx="228">
                  <c:v>0</c:v>
                </c:pt>
                <c:pt idx="229">
                  <c:v>1.4</c:v>
                </c:pt>
                <c:pt idx="230">
                  <c:v>0</c:v>
                </c:pt>
                <c:pt idx="231">
                  <c:v>0</c:v>
                </c:pt>
                <c:pt idx="232">
                  <c:v>0</c:v>
                </c:pt>
                <c:pt idx="233">
                  <c:v>0</c:v>
                </c:pt>
                <c:pt idx="234">
                  <c:v>0</c:v>
                </c:pt>
                <c:pt idx="235">
                  <c:v>0.2</c:v>
                </c:pt>
                <c:pt idx="236">
                  <c:v>0</c:v>
                </c:pt>
                <c:pt idx="237">
                  <c:v>0</c:v>
                </c:pt>
                <c:pt idx="238">
                  <c:v>0</c:v>
                </c:pt>
                <c:pt idx="239">
                  <c:v>0</c:v>
                </c:pt>
                <c:pt idx="240">
                  <c:v>0</c:v>
                </c:pt>
                <c:pt idx="241">
                  <c:v>0</c:v>
                </c:pt>
                <c:pt idx="242">
                  <c:v>0</c:v>
                </c:pt>
                <c:pt idx="243">
                  <c:v>0</c:v>
                </c:pt>
                <c:pt idx="244">
                  <c:v>0</c:v>
                </c:pt>
                <c:pt idx="245">
                  <c:v>3</c:v>
                </c:pt>
                <c:pt idx="246">
                  <c:v>2.8</c:v>
                </c:pt>
                <c:pt idx="247">
                  <c:v>0</c:v>
                </c:pt>
                <c:pt idx="248">
                  <c:v>0</c:v>
                </c:pt>
                <c:pt idx="249">
                  <c:v>0</c:v>
                </c:pt>
                <c:pt idx="250">
                  <c:v>0</c:v>
                </c:pt>
                <c:pt idx="251">
                  <c:v>0</c:v>
                </c:pt>
                <c:pt idx="252">
                  <c:v>0</c:v>
                </c:pt>
                <c:pt idx="253">
                  <c:v>0</c:v>
                </c:pt>
                <c:pt idx="254">
                  <c:v>0</c:v>
                </c:pt>
                <c:pt idx="255">
                  <c:v>3.2</c:v>
                </c:pt>
                <c:pt idx="256">
                  <c:v>0</c:v>
                </c:pt>
                <c:pt idx="257">
                  <c:v>0</c:v>
                </c:pt>
                <c:pt idx="258">
                  <c:v>0</c:v>
                </c:pt>
                <c:pt idx="259">
                  <c:v>0</c:v>
                </c:pt>
                <c:pt idx="260">
                  <c:v>0</c:v>
                </c:pt>
                <c:pt idx="261">
                  <c:v>0</c:v>
                </c:pt>
                <c:pt idx="262">
                  <c:v>0.4</c:v>
                </c:pt>
                <c:pt idx="263">
                  <c:v>0</c:v>
                </c:pt>
                <c:pt idx="264">
                  <c:v>0</c:v>
                </c:pt>
                <c:pt idx="265">
                  <c:v>0</c:v>
                </c:pt>
                <c:pt idx="266">
                  <c:v>2.6</c:v>
                </c:pt>
                <c:pt idx="267">
                  <c:v>0</c:v>
                </c:pt>
                <c:pt idx="268">
                  <c:v>0</c:v>
                </c:pt>
                <c:pt idx="269">
                  <c:v>0</c:v>
                </c:pt>
                <c:pt idx="270">
                  <c:v>0</c:v>
                </c:pt>
                <c:pt idx="271">
                  <c:v>0</c:v>
                </c:pt>
                <c:pt idx="272">
                  <c:v>7.8</c:v>
                </c:pt>
                <c:pt idx="273">
                  <c:v>68.8</c:v>
                </c:pt>
                <c:pt idx="274">
                  <c:v>24.4</c:v>
                </c:pt>
                <c:pt idx="275">
                  <c:v>0</c:v>
                </c:pt>
                <c:pt idx="276">
                  <c:v>0</c:v>
                </c:pt>
                <c:pt idx="277">
                  <c:v>0</c:v>
                </c:pt>
                <c:pt idx="278">
                  <c:v>0.2</c:v>
                </c:pt>
                <c:pt idx="279">
                  <c:v>0</c:v>
                </c:pt>
                <c:pt idx="280">
                  <c:v>0.2</c:v>
                </c:pt>
                <c:pt idx="281">
                  <c:v>0</c:v>
                </c:pt>
                <c:pt idx="282">
                  <c:v>2.6</c:v>
                </c:pt>
                <c:pt idx="283">
                  <c:v>2.2000000000000002</c:v>
                </c:pt>
                <c:pt idx="284">
                  <c:v>0</c:v>
                </c:pt>
                <c:pt idx="285">
                  <c:v>0</c:v>
                </c:pt>
                <c:pt idx="286">
                  <c:v>0</c:v>
                </c:pt>
                <c:pt idx="287">
                  <c:v>0</c:v>
                </c:pt>
                <c:pt idx="288">
                  <c:v>0</c:v>
                </c:pt>
                <c:pt idx="289">
                  <c:v>0</c:v>
                </c:pt>
                <c:pt idx="290">
                  <c:v>6.8</c:v>
                </c:pt>
                <c:pt idx="291">
                  <c:v>0</c:v>
                </c:pt>
                <c:pt idx="292">
                  <c:v>0</c:v>
                </c:pt>
                <c:pt idx="293">
                  <c:v>0</c:v>
                </c:pt>
                <c:pt idx="294">
                  <c:v>0</c:v>
                </c:pt>
                <c:pt idx="295">
                  <c:v>1.4</c:v>
                </c:pt>
                <c:pt idx="296">
                  <c:v>22.4</c:v>
                </c:pt>
                <c:pt idx="297">
                  <c:v>4.4000000000000004</c:v>
                </c:pt>
                <c:pt idx="298">
                  <c:v>3.8</c:v>
                </c:pt>
                <c:pt idx="299">
                  <c:v>0</c:v>
                </c:pt>
                <c:pt idx="300">
                  <c:v>0</c:v>
                </c:pt>
                <c:pt idx="301">
                  <c:v>0</c:v>
                </c:pt>
                <c:pt idx="302">
                  <c:v>0</c:v>
                </c:pt>
                <c:pt idx="303">
                  <c:v>0.2</c:v>
                </c:pt>
                <c:pt idx="304">
                  <c:v>3.2</c:v>
                </c:pt>
                <c:pt idx="305">
                  <c:v>0.2</c:v>
                </c:pt>
                <c:pt idx="306">
                  <c:v>0</c:v>
                </c:pt>
                <c:pt idx="307">
                  <c:v>0.2</c:v>
                </c:pt>
                <c:pt idx="308">
                  <c:v>0.2</c:v>
                </c:pt>
                <c:pt idx="309">
                  <c:v>0</c:v>
                </c:pt>
                <c:pt idx="310">
                  <c:v>0</c:v>
                </c:pt>
                <c:pt idx="311">
                  <c:v>0.2</c:v>
                </c:pt>
                <c:pt idx="312">
                  <c:v>0</c:v>
                </c:pt>
                <c:pt idx="313">
                  <c:v>0</c:v>
                </c:pt>
                <c:pt idx="314">
                  <c:v>0</c:v>
                </c:pt>
                <c:pt idx="315">
                  <c:v>0</c:v>
                </c:pt>
                <c:pt idx="316">
                  <c:v>0</c:v>
                </c:pt>
                <c:pt idx="317">
                  <c:v>0</c:v>
                </c:pt>
                <c:pt idx="318">
                  <c:v>0</c:v>
                </c:pt>
                <c:pt idx="319">
                  <c:v>0</c:v>
                </c:pt>
                <c:pt idx="320">
                  <c:v>0</c:v>
                </c:pt>
                <c:pt idx="321">
                  <c:v>17</c:v>
                </c:pt>
                <c:pt idx="322">
                  <c:v>0</c:v>
                </c:pt>
                <c:pt idx="323">
                  <c:v>1.5</c:v>
                </c:pt>
                <c:pt idx="324">
                  <c:v>0</c:v>
                </c:pt>
                <c:pt idx="325">
                  <c:v>3.5</c:v>
                </c:pt>
                <c:pt idx="326">
                  <c:v>0</c:v>
                </c:pt>
                <c:pt idx="327">
                  <c:v>0</c:v>
                </c:pt>
                <c:pt idx="328">
                  <c:v>0</c:v>
                </c:pt>
                <c:pt idx="329">
                  <c:v>0</c:v>
                </c:pt>
                <c:pt idx="330">
                  <c:v>0</c:v>
                </c:pt>
                <c:pt idx="331">
                  <c:v>0</c:v>
                </c:pt>
                <c:pt idx="332">
                  <c:v>0</c:v>
                </c:pt>
                <c:pt idx="333">
                  <c:v>0</c:v>
                </c:pt>
                <c:pt idx="334">
                  <c:v>0</c:v>
                </c:pt>
                <c:pt idx="335">
                  <c:v>0</c:v>
                </c:pt>
                <c:pt idx="336">
                  <c:v>0</c:v>
                </c:pt>
                <c:pt idx="337">
                  <c:v>1</c:v>
                </c:pt>
                <c:pt idx="338">
                  <c:v>0.5</c:v>
                </c:pt>
                <c:pt idx="339">
                  <c:v>0</c:v>
                </c:pt>
                <c:pt idx="340">
                  <c:v>0</c:v>
                </c:pt>
                <c:pt idx="341">
                  <c:v>0</c:v>
                </c:pt>
                <c:pt idx="342">
                  <c:v>0</c:v>
                </c:pt>
                <c:pt idx="343">
                  <c:v>0</c:v>
                </c:pt>
                <c:pt idx="344">
                  <c:v>0</c:v>
                </c:pt>
                <c:pt idx="345">
                  <c:v>0</c:v>
                </c:pt>
                <c:pt idx="346">
                  <c:v>0</c:v>
                </c:pt>
                <c:pt idx="347">
                  <c:v>0</c:v>
                </c:pt>
                <c:pt idx="348">
                  <c:v>0</c:v>
                </c:pt>
                <c:pt idx="349">
                  <c:v>0</c:v>
                </c:pt>
                <c:pt idx="350">
                  <c:v>0.5</c:v>
                </c:pt>
                <c:pt idx="351">
                  <c:v>0</c:v>
                </c:pt>
                <c:pt idx="352">
                  <c:v>0</c:v>
                </c:pt>
                <c:pt idx="353">
                  <c:v>0</c:v>
                </c:pt>
                <c:pt idx="354">
                  <c:v>0</c:v>
                </c:pt>
                <c:pt idx="355">
                  <c:v>0</c:v>
                </c:pt>
                <c:pt idx="356">
                  <c:v>0</c:v>
                </c:pt>
                <c:pt idx="357">
                  <c:v>0</c:v>
                </c:pt>
                <c:pt idx="358">
                  <c:v>0</c:v>
                </c:pt>
                <c:pt idx="359">
                  <c:v>0</c:v>
                </c:pt>
                <c:pt idx="360">
                  <c:v>0.5</c:v>
                </c:pt>
                <c:pt idx="361">
                  <c:v>0</c:v>
                </c:pt>
              </c:numCache>
            </c:numRef>
          </c:val>
        </c:ser>
        <c:dLbls>
          <c:showLegendKey val="0"/>
          <c:showVal val="0"/>
          <c:showCatName val="0"/>
          <c:showSerName val="0"/>
          <c:showPercent val="0"/>
          <c:showBubbleSize val="0"/>
        </c:dLbls>
        <c:gapWidth val="75"/>
        <c:axId val="90879488"/>
        <c:axId val="81661312"/>
      </c:barChart>
      <c:lineChart>
        <c:grouping val="standard"/>
        <c:varyColors val="0"/>
        <c:ser>
          <c:idx val="0"/>
          <c:order val="0"/>
          <c:tx>
            <c:strRef>
              <c:f>Borgo!$B$1</c:f>
              <c:strCache>
                <c:ptCount val="1"/>
                <c:pt idx="0">
                  <c:v>Température moyenne</c:v>
                </c:pt>
              </c:strCache>
            </c:strRef>
          </c:tx>
          <c:spPr>
            <a:ln w="12700">
              <a:solidFill>
                <a:srgbClr val="C00000"/>
              </a:solidFill>
            </a:ln>
          </c:spPr>
          <c:marker>
            <c:symbol val="none"/>
          </c:marker>
          <c:cat>
            <c:numRef>
              <c:f>Borgo!$A$2:$A$363</c:f>
              <c:numCache>
                <c:formatCode>m/d/yyyy</c:formatCode>
                <c:ptCount val="362"/>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42289</c:v>
                </c:pt>
                <c:pt idx="282">
                  <c:v>42290</c:v>
                </c:pt>
                <c:pt idx="283">
                  <c:v>42291</c:v>
                </c:pt>
                <c:pt idx="284">
                  <c:v>42292</c:v>
                </c:pt>
                <c:pt idx="285">
                  <c:v>42293</c:v>
                </c:pt>
                <c:pt idx="286">
                  <c:v>42294</c:v>
                </c:pt>
                <c:pt idx="287">
                  <c:v>42295</c:v>
                </c:pt>
                <c:pt idx="288">
                  <c:v>42296</c:v>
                </c:pt>
                <c:pt idx="289">
                  <c:v>42297</c:v>
                </c:pt>
                <c:pt idx="290">
                  <c:v>42298</c:v>
                </c:pt>
                <c:pt idx="291">
                  <c:v>42299</c:v>
                </c:pt>
                <c:pt idx="292">
                  <c:v>42300</c:v>
                </c:pt>
                <c:pt idx="293">
                  <c:v>42301</c:v>
                </c:pt>
                <c:pt idx="294">
                  <c:v>42302</c:v>
                </c:pt>
                <c:pt idx="295">
                  <c:v>42303</c:v>
                </c:pt>
                <c:pt idx="296">
                  <c:v>42304</c:v>
                </c:pt>
                <c:pt idx="297">
                  <c:v>42305</c:v>
                </c:pt>
                <c:pt idx="298">
                  <c:v>42306</c:v>
                </c:pt>
                <c:pt idx="299">
                  <c:v>42307</c:v>
                </c:pt>
                <c:pt idx="300">
                  <c:v>42308</c:v>
                </c:pt>
                <c:pt idx="301">
                  <c:v>42309</c:v>
                </c:pt>
                <c:pt idx="302">
                  <c:v>42310</c:v>
                </c:pt>
                <c:pt idx="303">
                  <c:v>42311</c:v>
                </c:pt>
                <c:pt idx="304">
                  <c:v>42312</c:v>
                </c:pt>
                <c:pt idx="305">
                  <c:v>42313</c:v>
                </c:pt>
                <c:pt idx="306">
                  <c:v>42314</c:v>
                </c:pt>
                <c:pt idx="307">
                  <c:v>42315</c:v>
                </c:pt>
                <c:pt idx="308">
                  <c:v>42316</c:v>
                </c:pt>
                <c:pt idx="309">
                  <c:v>42317</c:v>
                </c:pt>
                <c:pt idx="310">
                  <c:v>42318</c:v>
                </c:pt>
                <c:pt idx="311">
                  <c:v>42319</c:v>
                </c:pt>
                <c:pt idx="312">
                  <c:v>42320</c:v>
                </c:pt>
                <c:pt idx="313">
                  <c:v>42321</c:v>
                </c:pt>
                <c:pt idx="314">
                  <c:v>42322</c:v>
                </c:pt>
                <c:pt idx="315">
                  <c:v>42323</c:v>
                </c:pt>
                <c:pt idx="316">
                  <c:v>42324</c:v>
                </c:pt>
                <c:pt idx="317">
                  <c:v>42325</c:v>
                </c:pt>
                <c:pt idx="318">
                  <c:v>42326</c:v>
                </c:pt>
                <c:pt idx="319">
                  <c:v>42327</c:v>
                </c:pt>
                <c:pt idx="320">
                  <c:v>42328</c:v>
                </c:pt>
                <c:pt idx="321">
                  <c:v>42329</c:v>
                </c:pt>
                <c:pt idx="322">
                  <c:v>42330</c:v>
                </c:pt>
                <c:pt idx="323">
                  <c:v>42331</c:v>
                </c:pt>
                <c:pt idx="324">
                  <c:v>42332</c:v>
                </c:pt>
                <c:pt idx="325">
                  <c:v>42333</c:v>
                </c:pt>
                <c:pt idx="326">
                  <c:v>42334</c:v>
                </c:pt>
                <c:pt idx="327">
                  <c:v>42335</c:v>
                </c:pt>
                <c:pt idx="328">
                  <c:v>42336</c:v>
                </c:pt>
                <c:pt idx="329">
                  <c:v>42337</c:v>
                </c:pt>
                <c:pt idx="330">
                  <c:v>42338</c:v>
                </c:pt>
                <c:pt idx="331">
                  <c:v>42339</c:v>
                </c:pt>
                <c:pt idx="332">
                  <c:v>42340</c:v>
                </c:pt>
                <c:pt idx="333">
                  <c:v>42341</c:v>
                </c:pt>
                <c:pt idx="334">
                  <c:v>42342</c:v>
                </c:pt>
                <c:pt idx="335">
                  <c:v>42343</c:v>
                </c:pt>
                <c:pt idx="336">
                  <c:v>42344</c:v>
                </c:pt>
                <c:pt idx="337">
                  <c:v>42345</c:v>
                </c:pt>
                <c:pt idx="338">
                  <c:v>42346</c:v>
                </c:pt>
                <c:pt idx="339">
                  <c:v>42347</c:v>
                </c:pt>
                <c:pt idx="340">
                  <c:v>42348</c:v>
                </c:pt>
                <c:pt idx="341">
                  <c:v>42349</c:v>
                </c:pt>
                <c:pt idx="342">
                  <c:v>42350</c:v>
                </c:pt>
                <c:pt idx="343">
                  <c:v>42351</c:v>
                </c:pt>
                <c:pt idx="344">
                  <c:v>42352</c:v>
                </c:pt>
                <c:pt idx="345">
                  <c:v>42353</c:v>
                </c:pt>
                <c:pt idx="346">
                  <c:v>42354</c:v>
                </c:pt>
                <c:pt idx="347">
                  <c:v>42355</c:v>
                </c:pt>
                <c:pt idx="348">
                  <c:v>42356</c:v>
                </c:pt>
                <c:pt idx="349">
                  <c:v>42357</c:v>
                </c:pt>
                <c:pt idx="350">
                  <c:v>42358</c:v>
                </c:pt>
                <c:pt idx="351">
                  <c:v>42359</c:v>
                </c:pt>
                <c:pt idx="352">
                  <c:v>42360</c:v>
                </c:pt>
                <c:pt idx="353">
                  <c:v>42361</c:v>
                </c:pt>
                <c:pt idx="354">
                  <c:v>42362</c:v>
                </c:pt>
                <c:pt idx="355">
                  <c:v>42363</c:v>
                </c:pt>
                <c:pt idx="356">
                  <c:v>42364</c:v>
                </c:pt>
                <c:pt idx="357">
                  <c:v>42365</c:v>
                </c:pt>
                <c:pt idx="358">
                  <c:v>42366</c:v>
                </c:pt>
                <c:pt idx="359">
                  <c:v>42367</c:v>
                </c:pt>
                <c:pt idx="360">
                  <c:v>42368</c:v>
                </c:pt>
                <c:pt idx="361">
                  <c:v>42369</c:v>
                </c:pt>
              </c:numCache>
            </c:numRef>
          </c:cat>
          <c:val>
            <c:numRef>
              <c:f>Borgo!$B$2:$B$363</c:f>
              <c:numCache>
                <c:formatCode>General</c:formatCode>
                <c:ptCount val="362"/>
                <c:pt idx="0">
                  <c:v>6.1</c:v>
                </c:pt>
                <c:pt idx="1">
                  <c:v>6.7</c:v>
                </c:pt>
                <c:pt idx="2">
                  <c:v>8.1999999999999993</c:v>
                </c:pt>
                <c:pt idx="3">
                  <c:v>12.4</c:v>
                </c:pt>
                <c:pt idx="4">
                  <c:v>7.3</c:v>
                </c:pt>
                <c:pt idx="5">
                  <c:v>6.2</c:v>
                </c:pt>
                <c:pt idx="6">
                  <c:v>7.2</c:v>
                </c:pt>
                <c:pt idx="7">
                  <c:v>8.8000000000000007</c:v>
                </c:pt>
                <c:pt idx="8">
                  <c:v>7.3</c:v>
                </c:pt>
                <c:pt idx="9">
                  <c:v>8.5</c:v>
                </c:pt>
                <c:pt idx="10">
                  <c:v>12.2</c:v>
                </c:pt>
                <c:pt idx="11">
                  <c:v>8.1</c:v>
                </c:pt>
                <c:pt idx="12">
                  <c:v>8.5</c:v>
                </c:pt>
                <c:pt idx="13">
                  <c:v>7.5</c:v>
                </c:pt>
                <c:pt idx="14">
                  <c:v>8.1999999999999993</c:v>
                </c:pt>
                <c:pt idx="15">
                  <c:v>11.2</c:v>
                </c:pt>
                <c:pt idx="16">
                  <c:v>10.7</c:v>
                </c:pt>
                <c:pt idx="17">
                  <c:v>8.4</c:v>
                </c:pt>
                <c:pt idx="18">
                  <c:v>6.1</c:v>
                </c:pt>
                <c:pt idx="19">
                  <c:v>7.4</c:v>
                </c:pt>
                <c:pt idx="20">
                  <c:v>8</c:v>
                </c:pt>
                <c:pt idx="21">
                  <c:v>8.1999999999999993</c:v>
                </c:pt>
                <c:pt idx="22">
                  <c:v>12.1</c:v>
                </c:pt>
                <c:pt idx="23">
                  <c:v>10.5</c:v>
                </c:pt>
                <c:pt idx="24">
                  <c:v>8.6999999999999993</c:v>
                </c:pt>
                <c:pt idx="25">
                  <c:v>8.1</c:v>
                </c:pt>
                <c:pt idx="26">
                  <c:v>6.3</c:v>
                </c:pt>
                <c:pt idx="27">
                  <c:v>4.7</c:v>
                </c:pt>
                <c:pt idx="28">
                  <c:v>8.3000000000000007</c:v>
                </c:pt>
                <c:pt idx="29">
                  <c:v>10</c:v>
                </c:pt>
                <c:pt idx="30">
                  <c:v>7.5</c:v>
                </c:pt>
                <c:pt idx="31">
                  <c:v>8.1</c:v>
                </c:pt>
                <c:pt idx="32">
                  <c:v>7.7</c:v>
                </c:pt>
                <c:pt idx="33">
                  <c:v>7.7</c:v>
                </c:pt>
                <c:pt idx="34">
                  <c:v>8.6</c:v>
                </c:pt>
                <c:pt idx="35">
                  <c:v>8.9</c:v>
                </c:pt>
                <c:pt idx="36">
                  <c:v>5.9</c:v>
                </c:pt>
                <c:pt idx="37">
                  <c:v>7.1</c:v>
                </c:pt>
                <c:pt idx="38">
                  <c:v>7.5</c:v>
                </c:pt>
                <c:pt idx="39">
                  <c:v>7.2</c:v>
                </c:pt>
                <c:pt idx="40">
                  <c:v>6.8</c:v>
                </c:pt>
                <c:pt idx="41">
                  <c:v>8.1999999999999993</c:v>
                </c:pt>
                <c:pt idx="42">
                  <c:v>7.8</c:v>
                </c:pt>
                <c:pt idx="43">
                  <c:v>7.9</c:v>
                </c:pt>
                <c:pt idx="44">
                  <c:v>8.1</c:v>
                </c:pt>
                <c:pt idx="45">
                  <c:v>9.1</c:v>
                </c:pt>
                <c:pt idx="46">
                  <c:v>10.3</c:v>
                </c:pt>
                <c:pt idx="47">
                  <c:v>12.1</c:v>
                </c:pt>
                <c:pt idx="48">
                  <c:v>8.3000000000000007</c:v>
                </c:pt>
                <c:pt idx="49">
                  <c:v>6.9</c:v>
                </c:pt>
                <c:pt idx="50">
                  <c:v>7.1</c:v>
                </c:pt>
                <c:pt idx="51">
                  <c:v>7.4</c:v>
                </c:pt>
                <c:pt idx="52">
                  <c:v>10.199999999999999</c:v>
                </c:pt>
                <c:pt idx="53">
                  <c:v>11.5</c:v>
                </c:pt>
                <c:pt idx="54">
                  <c:v>7.9</c:v>
                </c:pt>
                <c:pt idx="55">
                  <c:v>10.199999999999999</c:v>
                </c:pt>
                <c:pt idx="56">
                  <c:v>11</c:v>
                </c:pt>
                <c:pt idx="57">
                  <c:v>10.9</c:v>
                </c:pt>
                <c:pt idx="58">
                  <c:v>9</c:v>
                </c:pt>
                <c:pt idx="59">
                  <c:v>9.6999999999999993</c:v>
                </c:pt>
                <c:pt idx="60">
                  <c:v>16.5</c:v>
                </c:pt>
                <c:pt idx="61">
                  <c:v>14.7</c:v>
                </c:pt>
                <c:pt idx="62">
                  <c:v>10.8</c:v>
                </c:pt>
                <c:pt idx="63">
                  <c:v>9.6</c:v>
                </c:pt>
                <c:pt idx="64">
                  <c:v>8.3000000000000007</c:v>
                </c:pt>
                <c:pt idx="65">
                  <c:v>8.9</c:v>
                </c:pt>
                <c:pt idx="66">
                  <c:v>8.3000000000000007</c:v>
                </c:pt>
                <c:pt idx="67">
                  <c:v>6.4</c:v>
                </c:pt>
                <c:pt idx="68">
                  <c:v>9.4</c:v>
                </c:pt>
                <c:pt idx="69">
                  <c:v>9.5</c:v>
                </c:pt>
                <c:pt idx="70">
                  <c:v>9.3000000000000007</c:v>
                </c:pt>
                <c:pt idx="71">
                  <c:v>8.5</c:v>
                </c:pt>
                <c:pt idx="72">
                  <c:v>10.199999999999999</c:v>
                </c:pt>
                <c:pt idx="73">
                  <c:v>8.8000000000000007</c:v>
                </c:pt>
                <c:pt idx="74">
                  <c:v>10.199999999999999</c:v>
                </c:pt>
                <c:pt idx="75">
                  <c:v>11.4</c:v>
                </c:pt>
                <c:pt idx="76">
                  <c:v>11.5</c:v>
                </c:pt>
                <c:pt idx="77">
                  <c:v>11.2</c:v>
                </c:pt>
                <c:pt idx="78">
                  <c:v>10.7</c:v>
                </c:pt>
                <c:pt idx="79">
                  <c:v>11.3</c:v>
                </c:pt>
                <c:pt idx="80">
                  <c:v>11.8</c:v>
                </c:pt>
                <c:pt idx="81">
                  <c:v>13.35</c:v>
                </c:pt>
                <c:pt idx="82">
                  <c:v>12.31</c:v>
                </c:pt>
                <c:pt idx="83">
                  <c:v>12.33</c:v>
                </c:pt>
                <c:pt idx="84">
                  <c:v>12.01</c:v>
                </c:pt>
                <c:pt idx="85">
                  <c:v>12.78</c:v>
                </c:pt>
                <c:pt idx="86">
                  <c:v>12.03</c:v>
                </c:pt>
                <c:pt idx="87">
                  <c:v>11.54</c:v>
                </c:pt>
                <c:pt idx="88">
                  <c:v>14.02</c:v>
                </c:pt>
                <c:pt idx="89">
                  <c:v>14.5</c:v>
                </c:pt>
                <c:pt idx="90">
                  <c:v>17.14</c:v>
                </c:pt>
                <c:pt idx="91">
                  <c:v>13.61</c:v>
                </c:pt>
                <c:pt idx="92">
                  <c:v>13.1</c:v>
                </c:pt>
                <c:pt idx="93">
                  <c:v>12.4</c:v>
                </c:pt>
                <c:pt idx="94">
                  <c:v>11</c:v>
                </c:pt>
                <c:pt idx="95">
                  <c:v>9.6999999999999993</c:v>
                </c:pt>
                <c:pt idx="96">
                  <c:v>8.9</c:v>
                </c:pt>
                <c:pt idx="97">
                  <c:v>12</c:v>
                </c:pt>
                <c:pt idx="98">
                  <c:v>10.1</c:v>
                </c:pt>
                <c:pt idx="99">
                  <c:v>11.2</c:v>
                </c:pt>
                <c:pt idx="100">
                  <c:v>11</c:v>
                </c:pt>
                <c:pt idx="101">
                  <c:v>12.8</c:v>
                </c:pt>
                <c:pt idx="102">
                  <c:v>14.2</c:v>
                </c:pt>
                <c:pt idx="103">
                  <c:v>14.3</c:v>
                </c:pt>
                <c:pt idx="104">
                  <c:v>13.7</c:v>
                </c:pt>
                <c:pt idx="105">
                  <c:v>14.7</c:v>
                </c:pt>
                <c:pt idx="106">
                  <c:v>15.3</c:v>
                </c:pt>
                <c:pt idx="107">
                  <c:v>14.3</c:v>
                </c:pt>
                <c:pt idx="108">
                  <c:v>14</c:v>
                </c:pt>
                <c:pt idx="109">
                  <c:v>12.3</c:v>
                </c:pt>
                <c:pt idx="110">
                  <c:v>13.7</c:v>
                </c:pt>
                <c:pt idx="111">
                  <c:v>14.6</c:v>
                </c:pt>
                <c:pt idx="112">
                  <c:v>13.8</c:v>
                </c:pt>
                <c:pt idx="113">
                  <c:v>14.1</c:v>
                </c:pt>
                <c:pt idx="114">
                  <c:v>15</c:v>
                </c:pt>
                <c:pt idx="115">
                  <c:v>15.5</c:v>
                </c:pt>
                <c:pt idx="116">
                  <c:v>15.7</c:v>
                </c:pt>
                <c:pt idx="117">
                  <c:v>15.2</c:v>
                </c:pt>
                <c:pt idx="118">
                  <c:v>14.3</c:v>
                </c:pt>
                <c:pt idx="119">
                  <c:v>14.3</c:v>
                </c:pt>
                <c:pt idx="120">
                  <c:v>15.3</c:v>
                </c:pt>
                <c:pt idx="121">
                  <c:v>17.8</c:v>
                </c:pt>
                <c:pt idx="122">
                  <c:v>16.899999999999999</c:v>
                </c:pt>
                <c:pt idx="123">
                  <c:v>17.8</c:v>
                </c:pt>
                <c:pt idx="124">
                  <c:v>18</c:v>
                </c:pt>
                <c:pt idx="125">
                  <c:v>17.8</c:v>
                </c:pt>
                <c:pt idx="126">
                  <c:v>17.8</c:v>
                </c:pt>
                <c:pt idx="127">
                  <c:v>17.399999999999999</c:v>
                </c:pt>
                <c:pt idx="128">
                  <c:v>18.3</c:v>
                </c:pt>
                <c:pt idx="129">
                  <c:v>19.2</c:v>
                </c:pt>
                <c:pt idx="130">
                  <c:v>18.600000000000001</c:v>
                </c:pt>
                <c:pt idx="131">
                  <c:v>19.399999999999999</c:v>
                </c:pt>
                <c:pt idx="132">
                  <c:v>18.600000000000001</c:v>
                </c:pt>
                <c:pt idx="133">
                  <c:v>18.5</c:v>
                </c:pt>
                <c:pt idx="134">
                  <c:v>19.399999999999999</c:v>
                </c:pt>
                <c:pt idx="135">
                  <c:v>16.600000000000001</c:v>
                </c:pt>
                <c:pt idx="136">
                  <c:v>22</c:v>
                </c:pt>
                <c:pt idx="137">
                  <c:v>23</c:v>
                </c:pt>
                <c:pt idx="138">
                  <c:v>18.8</c:v>
                </c:pt>
                <c:pt idx="139">
                  <c:v>18.8</c:v>
                </c:pt>
                <c:pt idx="140">
                  <c:v>15.7</c:v>
                </c:pt>
                <c:pt idx="141">
                  <c:v>16.7</c:v>
                </c:pt>
                <c:pt idx="142">
                  <c:v>15.9</c:v>
                </c:pt>
                <c:pt idx="143">
                  <c:v>16.3</c:v>
                </c:pt>
                <c:pt idx="144">
                  <c:v>17.8</c:v>
                </c:pt>
                <c:pt idx="145">
                  <c:v>17.2</c:v>
                </c:pt>
                <c:pt idx="146">
                  <c:v>18</c:v>
                </c:pt>
                <c:pt idx="147">
                  <c:v>17.5</c:v>
                </c:pt>
                <c:pt idx="148">
                  <c:v>18.100000000000001</c:v>
                </c:pt>
                <c:pt idx="149">
                  <c:v>18.3</c:v>
                </c:pt>
                <c:pt idx="150">
                  <c:v>19.2</c:v>
                </c:pt>
                <c:pt idx="151">
                  <c:v>19.8</c:v>
                </c:pt>
                <c:pt idx="152">
                  <c:v>20</c:v>
                </c:pt>
                <c:pt idx="153">
                  <c:v>20.2</c:v>
                </c:pt>
                <c:pt idx="154">
                  <c:v>21.4</c:v>
                </c:pt>
                <c:pt idx="155">
                  <c:v>23.8</c:v>
                </c:pt>
                <c:pt idx="156">
                  <c:v>24.3</c:v>
                </c:pt>
                <c:pt idx="157">
                  <c:v>25.3</c:v>
                </c:pt>
                <c:pt idx="158">
                  <c:v>25.2</c:v>
                </c:pt>
                <c:pt idx="159">
                  <c:v>22.8</c:v>
                </c:pt>
                <c:pt idx="160">
                  <c:v>23.2</c:v>
                </c:pt>
                <c:pt idx="161">
                  <c:v>22.9</c:v>
                </c:pt>
                <c:pt idx="162">
                  <c:v>21</c:v>
                </c:pt>
                <c:pt idx="163">
                  <c:v>23.1</c:v>
                </c:pt>
                <c:pt idx="164">
                  <c:v>22.1</c:v>
                </c:pt>
                <c:pt idx="165">
                  <c:v>20.9</c:v>
                </c:pt>
                <c:pt idx="166">
                  <c:v>19.7</c:v>
                </c:pt>
                <c:pt idx="167">
                  <c:v>20.8</c:v>
                </c:pt>
                <c:pt idx="168">
                  <c:v>21.6</c:v>
                </c:pt>
                <c:pt idx="169">
                  <c:v>21.7</c:v>
                </c:pt>
                <c:pt idx="170">
                  <c:v>21.7</c:v>
                </c:pt>
                <c:pt idx="171">
                  <c:v>22</c:v>
                </c:pt>
                <c:pt idx="172">
                  <c:v>22.2</c:v>
                </c:pt>
                <c:pt idx="173">
                  <c:v>23.6</c:v>
                </c:pt>
                <c:pt idx="174">
                  <c:v>22.6</c:v>
                </c:pt>
                <c:pt idx="175">
                  <c:v>21.7</c:v>
                </c:pt>
                <c:pt idx="176">
                  <c:v>22.1</c:v>
                </c:pt>
                <c:pt idx="177">
                  <c:v>22.5</c:v>
                </c:pt>
                <c:pt idx="178">
                  <c:v>24.5</c:v>
                </c:pt>
                <c:pt idx="179">
                  <c:v>24.6</c:v>
                </c:pt>
                <c:pt idx="180">
                  <c:v>25.5</c:v>
                </c:pt>
                <c:pt idx="181">
                  <c:v>25.5</c:v>
                </c:pt>
                <c:pt idx="182">
                  <c:v>26.5</c:v>
                </c:pt>
                <c:pt idx="183">
                  <c:v>27.3</c:v>
                </c:pt>
                <c:pt idx="184">
                  <c:v>28.1</c:v>
                </c:pt>
                <c:pt idx="185">
                  <c:v>28</c:v>
                </c:pt>
                <c:pt idx="186">
                  <c:v>27</c:v>
                </c:pt>
                <c:pt idx="187">
                  <c:v>26.9</c:v>
                </c:pt>
                <c:pt idx="188">
                  <c:v>26.7</c:v>
                </c:pt>
                <c:pt idx="189">
                  <c:v>27.2</c:v>
                </c:pt>
                <c:pt idx="190">
                  <c:v>26.2</c:v>
                </c:pt>
                <c:pt idx="191">
                  <c:v>26.2</c:v>
                </c:pt>
                <c:pt idx="192">
                  <c:v>26.3</c:v>
                </c:pt>
                <c:pt idx="193">
                  <c:v>25.6</c:v>
                </c:pt>
                <c:pt idx="194">
                  <c:v>26.7</c:v>
                </c:pt>
                <c:pt idx="195">
                  <c:v>26.8</c:v>
                </c:pt>
                <c:pt idx="196">
                  <c:v>26.1</c:v>
                </c:pt>
                <c:pt idx="197">
                  <c:v>26.8</c:v>
                </c:pt>
                <c:pt idx="198">
                  <c:v>27.7</c:v>
                </c:pt>
                <c:pt idx="199">
                  <c:v>27.6</c:v>
                </c:pt>
                <c:pt idx="200">
                  <c:v>27.3</c:v>
                </c:pt>
                <c:pt idx="201">
                  <c:v>27.6</c:v>
                </c:pt>
                <c:pt idx="202">
                  <c:v>28</c:v>
                </c:pt>
                <c:pt idx="203">
                  <c:v>27.4</c:v>
                </c:pt>
                <c:pt idx="204">
                  <c:v>27.3</c:v>
                </c:pt>
                <c:pt idx="205">
                  <c:v>27</c:v>
                </c:pt>
                <c:pt idx="206">
                  <c:v>25.7</c:v>
                </c:pt>
                <c:pt idx="207">
                  <c:v>26.3</c:v>
                </c:pt>
                <c:pt idx="208">
                  <c:v>26.3</c:v>
                </c:pt>
                <c:pt idx="209">
                  <c:v>26</c:v>
                </c:pt>
                <c:pt idx="210">
                  <c:v>26.8</c:v>
                </c:pt>
                <c:pt idx="211">
                  <c:v>26.4</c:v>
                </c:pt>
                <c:pt idx="212">
                  <c:v>24.8</c:v>
                </c:pt>
                <c:pt idx="213">
                  <c:v>24.4</c:v>
                </c:pt>
                <c:pt idx="214">
                  <c:v>25.5</c:v>
                </c:pt>
                <c:pt idx="215">
                  <c:v>25.9</c:v>
                </c:pt>
                <c:pt idx="216">
                  <c:v>26</c:v>
                </c:pt>
                <c:pt idx="217">
                  <c:v>27.1</c:v>
                </c:pt>
                <c:pt idx="218">
                  <c:v>28</c:v>
                </c:pt>
                <c:pt idx="219">
                  <c:v>28.9</c:v>
                </c:pt>
                <c:pt idx="220">
                  <c:v>27.4</c:v>
                </c:pt>
                <c:pt idx="221">
                  <c:v>23</c:v>
                </c:pt>
                <c:pt idx="222">
                  <c:v>33.5</c:v>
                </c:pt>
                <c:pt idx="223">
                  <c:v>25.9</c:v>
                </c:pt>
                <c:pt idx="224">
                  <c:v>26.6</c:v>
                </c:pt>
                <c:pt idx="225">
                  <c:v>24.71</c:v>
                </c:pt>
                <c:pt idx="226">
                  <c:v>23.24</c:v>
                </c:pt>
                <c:pt idx="227">
                  <c:v>21.67</c:v>
                </c:pt>
                <c:pt idx="228">
                  <c:v>22.96</c:v>
                </c:pt>
                <c:pt idx="229">
                  <c:v>22.3</c:v>
                </c:pt>
                <c:pt idx="230">
                  <c:v>22.15</c:v>
                </c:pt>
                <c:pt idx="231">
                  <c:v>22.88</c:v>
                </c:pt>
                <c:pt idx="232">
                  <c:v>23.35</c:v>
                </c:pt>
                <c:pt idx="233">
                  <c:v>23.43</c:v>
                </c:pt>
                <c:pt idx="234">
                  <c:v>24.03</c:v>
                </c:pt>
                <c:pt idx="235">
                  <c:v>24.29</c:v>
                </c:pt>
                <c:pt idx="236">
                  <c:v>24.69</c:v>
                </c:pt>
                <c:pt idx="237">
                  <c:v>22.69</c:v>
                </c:pt>
                <c:pt idx="238">
                  <c:v>23.56</c:v>
                </c:pt>
                <c:pt idx="239">
                  <c:v>24.2</c:v>
                </c:pt>
                <c:pt idx="240">
                  <c:v>24.01</c:v>
                </c:pt>
                <c:pt idx="241">
                  <c:v>22.78</c:v>
                </c:pt>
                <c:pt idx="242">
                  <c:v>24.26</c:v>
                </c:pt>
                <c:pt idx="243">
                  <c:v>24.03</c:v>
                </c:pt>
                <c:pt idx="244">
                  <c:v>24.18</c:v>
                </c:pt>
                <c:pt idx="245">
                  <c:v>22.83</c:v>
                </c:pt>
                <c:pt idx="246">
                  <c:v>22.7</c:v>
                </c:pt>
                <c:pt idx="247">
                  <c:v>22.5</c:v>
                </c:pt>
                <c:pt idx="248">
                  <c:v>19</c:v>
                </c:pt>
                <c:pt idx="249">
                  <c:v>20</c:v>
                </c:pt>
                <c:pt idx="250">
                  <c:v>20.100000000000001</c:v>
                </c:pt>
                <c:pt idx="251">
                  <c:v>20.399999999999999</c:v>
                </c:pt>
                <c:pt idx="252">
                  <c:v>19.7</c:v>
                </c:pt>
                <c:pt idx="253">
                  <c:v>19.5</c:v>
                </c:pt>
                <c:pt idx="254">
                  <c:v>21.2</c:v>
                </c:pt>
                <c:pt idx="255">
                  <c:v>23.1</c:v>
                </c:pt>
                <c:pt idx="256">
                  <c:v>23.8</c:v>
                </c:pt>
                <c:pt idx="257">
                  <c:v>22.3</c:v>
                </c:pt>
                <c:pt idx="258">
                  <c:v>22.6</c:v>
                </c:pt>
                <c:pt idx="259">
                  <c:v>23</c:v>
                </c:pt>
                <c:pt idx="260">
                  <c:v>22.2</c:v>
                </c:pt>
                <c:pt idx="261">
                  <c:v>19.7</c:v>
                </c:pt>
                <c:pt idx="262">
                  <c:v>20.5</c:v>
                </c:pt>
                <c:pt idx="263">
                  <c:v>21.3</c:v>
                </c:pt>
                <c:pt idx="264">
                  <c:v>18.600000000000001</c:v>
                </c:pt>
                <c:pt idx="265">
                  <c:v>18.600000000000001</c:v>
                </c:pt>
                <c:pt idx="266">
                  <c:v>19.2</c:v>
                </c:pt>
                <c:pt idx="267">
                  <c:v>20.6</c:v>
                </c:pt>
                <c:pt idx="268">
                  <c:v>19.8</c:v>
                </c:pt>
                <c:pt idx="269">
                  <c:v>20</c:v>
                </c:pt>
                <c:pt idx="270">
                  <c:v>20</c:v>
                </c:pt>
                <c:pt idx="271">
                  <c:v>19.7</c:v>
                </c:pt>
                <c:pt idx="272">
                  <c:v>17.899999999999999</c:v>
                </c:pt>
                <c:pt idx="273">
                  <c:v>15.7</c:v>
                </c:pt>
                <c:pt idx="274">
                  <c:v>18.3</c:v>
                </c:pt>
                <c:pt idx="275">
                  <c:v>17.3</c:v>
                </c:pt>
                <c:pt idx="276">
                  <c:v>19.8</c:v>
                </c:pt>
                <c:pt idx="277">
                  <c:v>20.399999999999999</c:v>
                </c:pt>
                <c:pt idx="278">
                  <c:v>19.399999999999999</c:v>
                </c:pt>
                <c:pt idx="279">
                  <c:v>19.399999999999999</c:v>
                </c:pt>
                <c:pt idx="280">
                  <c:v>16.899999999999999</c:v>
                </c:pt>
                <c:pt idx="281">
                  <c:v>16.7</c:v>
                </c:pt>
                <c:pt idx="282">
                  <c:v>18.399999999999999</c:v>
                </c:pt>
                <c:pt idx="283">
                  <c:v>16.399999999999999</c:v>
                </c:pt>
                <c:pt idx="284">
                  <c:v>17.2</c:v>
                </c:pt>
                <c:pt idx="285">
                  <c:v>14.5</c:v>
                </c:pt>
                <c:pt idx="286">
                  <c:v>12.7</c:v>
                </c:pt>
                <c:pt idx="287">
                  <c:v>15.3</c:v>
                </c:pt>
                <c:pt idx="288">
                  <c:v>17.3</c:v>
                </c:pt>
                <c:pt idx="289">
                  <c:v>16</c:v>
                </c:pt>
                <c:pt idx="290">
                  <c:v>14.8</c:v>
                </c:pt>
                <c:pt idx="291">
                  <c:v>15</c:v>
                </c:pt>
                <c:pt idx="292">
                  <c:v>15.3</c:v>
                </c:pt>
                <c:pt idx="293">
                  <c:v>14.6</c:v>
                </c:pt>
                <c:pt idx="294">
                  <c:v>13.5</c:v>
                </c:pt>
                <c:pt idx="295">
                  <c:v>14.8</c:v>
                </c:pt>
                <c:pt idx="296">
                  <c:v>16.899999999999999</c:v>
                </c:pt>
                <c:pt idx="297">
                  <c:v>17</c:v>
                </c:pt>
                <c:pt idx="298">
                  <c:v>13.3</c:v>
                </c:pt>
                <c:pt idx="299">
                  <c:v>15.3</c:v>
                </c:pt>
                <c:pt idx="300">
                  <c:v>15</c:v>
                </c:pt>
                <c:pt idx="301">
                  <c:v>13.6</c:v>
                </c:pt>
                <c:pt idx="302">
                  <c:v>12.8</c:v>
                </c:pt>
                <c:pt idx="303">
                  <c:v>14.2</c:v>
                </c:pt>
                <c:pt idx="304">
                  <c:v>14.2</c:v>
                </c:pt>
                <c:pt idx="305">
                  <c:v>14.9</c:v>
                </c:pt>
                <c:pt idx="306">
                  <c:v>14.4</c:v>
                </c:pt>
                <c:pt idx="307">
                  <c:v>13.1</c:v>
                </c:pt>
                <c:pt idx="308">
                  <c:v>13.4</c:v>
                </c:pt>
                <c:pt idx="309">
                  <c:v>13.8</c:v>
                </c:pt>
                <c:pt idx="310">
                  <c:v>13.6</c:v>
                </c:pt>
                <c:pt idx="311">
                  <c:v>14.7</c:v>
                </c:pt>
                <c:pt idx="312">
                  <c:v>16</c:v>
                </c:pt>
                <c:pt idx="313">
                  <c:v>16.100000000000001</c:v>
                </c:pt>
                <c:pt idx="314">
                  <c:v>14.3</c:v>
                </c:pt>
                <c:pt idx="315">
                  <c:v>11.9</c:v>
                </c:pt>
                <c:pt idx="316">
                  <c:v>14</c:v>
                </c:pt>
                <c:pt idx="317">
                  <c:v>14.7</c:v>
                </c:pt>
                <c:pt idx="318">
                  <c:v>13.1</c:v>
                </c:pt>
                <c:pt idx="319">
                  <c:v>13.3</c:v>
                </c:pt>
                <c:pt idx="320">
                  <c:v>14.6</c:v>
                </c:pt>
                <c:pt idx="321">
                  <c:v>16.399999999999999</c:v>
                </c:pt>
                <c:pt idx="322">
                  <c:v>8.6999999999999993</c:v>
                </c:pt>
                <c:pt idx="323">
                  <c:v>8</c:v>
                </c:pt>
                <c:pt idx="324">
                  <c:v>8.3000000000000007</c:v>
                </c:pt>
                <c:pt idx="325">
                  <c:v>9.1</c:v>
                </c:pt>
                <c:pt idx="326">
                  <c:v>10.8</c:v>
                </c:pt>
                <c:pt idx="327">
                  <c:v>10</c:v>
                </c:pt>
                <c:pt idx="328">
                  <c:v>7</c:v>
                </c:pt>
                <c:pt idx="329">
                  <c:v>9.1</c:v>
                </c:pt>
                <c:pt idx="330">
                  <c:v>8.6999999999999993</c:v>
                </c:pt>
                <c:pt idx="331">
                  <c:v>8.1999999999999993</c:v>
                </c:pt>
                <c:pt idx="332">
                  <c:v>11.7</c:v>
                </c:pt>
                <c:pt idx="333">
                  <c:v>11</c:v>
                </c:pt>
                <c:pt idx="334">
                  <c:v>11.9</c:v>
                </c:pt>
                <c:pt idx="335">
                  <c:v>11.2</c:v>
                </c:pt>
                <c:pt idx="336">
                  <c:v>11.6</c:v>
                </c:pt>
                <c:pt idx="337">
                  <c:v>10.199999999999999</c:v>
                </c:pt>
                <c:pt idx="338">
                  <c:v>10.199999999999999</c:v>
                </c:pt>
                <c:pt idx="339">
                  <c:v>10.199999999999999</c:v>
                </c:pt>
                <c:pt idx="340">
                  <c:v>9.1999999999999993</c:v>
                </c:pt>
                <c:pt idx="341">
                  <c:v>7.3</c:v>
                </c:pt>
                <c:pt idx="342">
                  <c:v>6.6</c:v>
                </c:pt>
                <c:pt idx="343">
                  <c:v>7.7</c:v>
                </c:pt>
                <c:pt idx="344">
                  <c:v>8.6999999999999993</c:v>
                </c:pt>
                <c:pt idx="345">
                  <c:v>9</c:v>
                </c:pt>
                <c:pt idx="346">
                  <c:v>9.4</c:v>
                </c:pt>
                <c:pt idx="347">
                  <c:v>9.3000000000000007</c:v>
                </c:pt>
                <c:pt idx="348">
                  <c:v>9.4</c:v>
                </c:pt>
                <c:pt idx="349">
                  <c:v>12.4</c:v>
                </c:pt>
                <c:pt idx="350">
                  <c:v>10.9</c:v>
                </c:pt>
                <c:pt idx="351">
                  <c:v>9.1</c:v>
                </c:pt>
                <c:pt idx="352">
                  <c:v>11.5</c:v>
                </c:pt>
                <c:pt idx="353">
                  <c:v>9.1</c:v>
                </c:pt>
                <c:pt idx="354">
                  <c:v>8.1999999999999993</c:v>
                </c:pt>
                <c:pt idx="355">
                  <c:v>9.1</c:v>
                </c:pt>
                <c:pt idx="356">
                  <c:v>10.3</c:v>
                </c:pt>
                <c:pt idx="357">
                  <c:v>9.6999999999999993</c:v>
                </c:pt>
                <c:pt idx="358">
                  <c:v>10.199999999999999</c:v>
                </c:pt>
                <c:pt idx="359">
                  <c:v>8.1999999999999993</c:v>
                </c:pt>
                <c:pt idx="360">
                  <c:v>10.8</c:v>
                </c:pt>
                <c:pt idx="361">
                  <c:v>9.8000000000000007</c:v>
                </c:pt>
              </c:numCache>
            </c:numRef>
          </c:val>
          <c:smooth val="0"/>
        </c:ser>
        <c:dLbls>
          <c:showLegendKey val="0"/>
          <c:showVal val="0"/>
          <c:showCatName val="0"/>
          <c:showSerName val="0"/>
          <c:showPercent val="0"/>
          <c:showBubbleSize val="0"/>
        </c:dLbls>
        <c:marker val="1"/>
        <c:smooth val="0"/>
        <c:axId val="81542528"/>
        <c:axId val="81659008"/>
      </c:lineChart>
      <c:dateAx>
        <c:axId val="81542528"/>
        <c:scaling>
          <c:orientation val="minMax"/>
        </c:scaling>
        <c:delete val="0"/>
        <c:axPos val="b"/>
        <c:numFmt formatCode="m/d/yyyy" sourceLinked="1"/>
        <c:majorTickMark val="none"/>
        <c:minorTickMark val="none"/>
        <c:tickLblPos val="nextTo"/>
        <c:crossAx val="81659008"/>
        <c:crosses val="autoZero"/>
        <c:auto val="1"/>
        <c:lblOffset val="100"/>
        <c:baseTimeUnit val="days"/>
      </c:dateAx>
      <c:valAx>
        <c:axId val="81659008"/>
        <c:scaling>
          <c:orientation val="minMax"/>
        </c:scaling>
        <c:delete val="0"/>
        <c:axPos val="l"/>
        <c:majorGridlines>
          <c:spPr>
            <a:ln>
              <a:noFill/>
            </a:ln>
          </c:spPr>
        </c:majorGridlines>
        <c:title>
          <c:tx>
            <c:rich>
              <a:bodyPr rot="0" vert="horz"/>
              <a:lstStyle/>
              <a:p>
                <a:pPr>
                  <a:defRPr/>
                </a:pPr>
                <a:r>
                  <a:rPr lang="en-US"/>
                  <a:t>°C</a:t>
                </a:r>
              </a:p>
            </c:rich>
          </c:tx>
          <c:layout>
            <c:manualLayout>
              <c:xMode val="edge"/>
              <c:yMode val="edge"/>
              <c:x val="1.4909478168264111E-2"/>
              <c:y val="4.7483881519484218E-2"/>
            </c:manualLayout>
          </c:layout>
          <c:overlay val="0"/>
        </c:title>
        <c:numFmt formatCode="General" sourceLinked="1"/>
        <c:majorTickMark val="out"/>
        <c:minorTickMark val="none"/>
        <c:tickLblPos val="nextTo"/>
        <c:crossAx val="81542528"/>
        <c:crosses val="autoZero"/>
        <c:crossBetween val="between"/>
      </c:valAx>
      <c:valAx>
        <c:axId val="81661312"/>
        <c:scaling>
          <c:orientation val="minMax"/>
        </c:scaling>
        <c:delete val="0"/>
        <c:axPos val="r"/>
        <c:title>
          <c:tx>
            <c:rich>
              <a:bodyPr rot="0" vert="horz"/>
              <a:lstStyle/>
              <a:p>
                <a:pPr>
                  <a:defRPr/>
                </a:pPr>
                <a:r>
                  <a:rPr lang="en-US"/>
                  <a:t>mm</a:t>
                </a:r>
              </a:p>
            </c:rich>
          </c:tx>
          <c:layout>
            <c:manualLayout>
              <c:xMode val="edge"/>
              <c:yMode val="edge"/>
              <c:x val="0.93765708200212994"/>
              <c:y val="5.5292567483647879E-2"/>
            </c:manualLayout>
          </c:layout>
          <c:overlay val="0"/>
        </c:title>
        <c:numFmt formatCode="General" sourceLinked="1"/>
        <c:majorTickMark val="out"/>
        <c:minorTickMark val="none"/>
        <c:tickLblPos val="nextTo"/>
        <c:crossAx val="90879488"/>
        <c:crosses val="max"/>
        <c:crossBetween val="between"/>
      </c:valAx>
      <c:dateAx>
        <c:axId val="90879488"/>
        <c:scaling>
          <c:orientation val="minMax"/>
        </c:scaling>
        <c:delete val="1"/>
        <c:axPos val="b"/>
        <c:numFmt formatCode="m/d/yyyy" sourceLinked="1"/>
        <c:majorTickMark val="out"/>
        <c:minorTickMark val="none"/>
        <c:tickLblPos val="nextTo"/>
        <c:crossAx val="81661312"/>
        <c:crosses val="autoZero"/>
        <c:auto val="1"/>
        <c:lblOffset val="100"/>
        <c:baseTimeUnit val="days"/>
      </c:dateAx>
      <c:spPr>
        <a:solidFill>
          <a:schemeClr val="accent1">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Feuil1!$A$28</c:f>
              <c:strCache>
                <c:ptCount val="1"/>
                <c:pt idx="0">
                  <c:v>Juin</c:v>
                </c:pt>
              </c:strCache>
            </c:strRef>
          </c:tx>
          <c:spPr>
            <a:ln>
              <a:solidFill>
                <a:sysClr val="windowText" lastClr="000000"/>
              </a:solidFill>
            </a:ln>
            <a:scene3d>
              <a:camera prst="orthographicFront"/>
              <a:lightRig rig="threePt" dir="t"/>
            </a:scene3d>
            <a:sp3d>
              <a:bevelT w="190500" h="38100"/>
            </a:sp3d>
          </c:spPr>
          <c:invertIfNegative val="0"/>
          <c:cat>
            <c:strRef>
              <c:f>Feuil1!$F$27:$H$27</c:f>
              <c:strCache>
                <c:ptCount val="3"/>
                <c:pt idx="0">
                  <c:v>LB</c:v>
                </c:pt>
                <c:pt idx="1">
                  <c:v>50%</c:v>
                </c:pt>
                <c:pt idx="2">
                  <c:v>CH</c:v>
                </c:pt>
              </c:strCache>
            </c:strRef>
          </c:cat>
          <c:val>
            <c:numRef>
              <c:f>Feuil1!$F$28:$H$28</c:f>
              <c:numCache>
                <c:formatCode>General</c:formatCode>
                <c:ptCount val="3"/>
                <c:pt idx="0">
                  <c:v>0</c:v>
                </c:pt>
                <c:pt idx="1">
                  <c:v>0</c:v>
                </c:pt>
                <c:pt idx="2">
                  <c:v>0</c:v>
                </c:pt>
              </c:numCache>
            </c:numRef>
          </c:val>
        </c:ser>
        <c:ser>
          <c:idx val="1"/>
          <c:order val="1"/>
          <c:tx>
            <c:strRef>
              <c:f>Feuil1!$A$29</c:f>
              <c:strCache>
                <c:ptCount val="1"/>
                <c:pt idx="0">
                  <c:v>Juillet</c:v>
                </c:pt>
              </c:strCache>
            </c:strRef>
          </c:tx>
          <c:spPr>
            <a:ln>
              <a:solidFill>
                <a:sysClr val="windowText" lastClr="000000"/>
              </a:solidFill>
            </a:ln>
            <a:scene3d>
              <a:camera prst="orthographicFront"/>
              <a:lightRig rig="threePt" dir="t"/>
            </a:scene3d>
            <a:sp3d>
              <a:bevelT w="190500" h="38100"/>
            </a:sp3d>
          </c:spPr>
          <c:invertIfNegative val="0"/>
          <c:cat>
            <c:strRef>
              <c:f>Feuil1!$F$27:$H$27</c:f>
              <c:strCache>
                <c:ptCount val="3"/>
                <c:pt idx="0">
                  <c:v>LB</c:v>
                </c:pt>
                <c:pt idx="1">
                  <c:v>50%</c:v>
                </c:pt>
                <c:pt idx="2">
                  <c:v>CH</c:v>
                </c:pt>
              </c:strCache>
            </c:strRef>
          </c:cat>
          <c:val>
            <c:numRef>
              <c:f>Feuil1!$F$29:$H$29</c:f>
              <c:numCache>
                <c:formatCode>General</c:formatCode>
                <c:ptCount val="3"/>
                <c:pt idx="0">
                  <c:v>0</c:v>
                </c:pt>
                <c:pt idx="1">
                  <c:v>0</c:v>
                </c:pt>
                <c:pt idx="2">
                  <c:v>1</c:v>
                </c:pt>
              </c:numCache>
            </c:numRef>
          </c:val>
        </c:ser>
        <c:ser>
          <c:idx val="2"/>
          <c:order val="2"/>
          <c:tx>
            <c:strRef>
              <c:f>Feuil1!$A$30</c:f>
              <c:strCache>
                <c:ptCount val="1"/>
                <c:pt idx="0">
                  <c:v>Août</c:v>
                </c:pt>
              </c:strCache>
            </c:strRef>
          </c:tx>
          <c:spPr>
            <a:ln>
              <a:solidFill>
                <a:sysClr val="windowText" lastClr="000000"/>
              </a:solidFill>
            </a:ln>
            <a:scene3d>
              <a:camera prst="orthographicFront"/>
              <a:lightRig rig="threePt" dir="t"/>
            </a:scene3d>
            <a:sp3d>
              <a:bevelT w="190500" h="38100"/>
            </a:sp3d>
          </c:spPr>
          <c:invertIfNegative val="0"/>
          <c:cat>
            <c:strRef>
              <c:f>Feuil1!$F$27:$H$27</c:f>
              <c:strCache>
                <c:ptCount val="3"/>
                <c:pt idx="0">
                  <c:v>LB</c:v>
                </c:pt>
                <c:pt idx="1">
                  <c:v>50%</c:v>
                </c:pt>
                <c:pt idx="2">
                  <c:v>CH</c:v>
                </c:pt>
              </c:strCache>
            </c:strRef>
          </c:cat>
          <c:val>
            <c:numRef>
              <c:f>Feuil1!$F$30:$H$30</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77765632"/>
        <c:axId val="77820672"/>
      </c:barChart>
      <c:catAx>
        <c:axId val="77765632"/>
        <c:scaling>
          <c:orientation val="minMax"/>
        </c:scaling>
        <c:delete val="0"/>
        <c:axPos val="b"/>
        <c:numFmt formatCode="General" sourceLinked="0"/>
        <c:majorTickMark val="out"/>
        <c:minorTickMark val="none"/>
        <c:tickLblPos val="nextTo"/>
        <c:crossAx val="77820672"/>
        <c:crosses val="autoZero"/>
        <c:auto val="1"/>
        <c:lblAlgn val="ctr"/>
        <c:lblOffset val="100"/>
        <c:noMultiLvlLbl val="0"/>
      </c:catAx>
      <c:valAx>
        <c:axId val="77820672"/>
        <c:scaling>
          <c:orientation val="minMax"/>
        </c:scaling>
        <c:delete val="0"/>
        <c:axPos val="l"/>
        <c:majorGridlines>
          <c:spPr>
            <a:ln>
              <a:noFill/>
            </a:ln>
          </c:spPr>
        </c:majorGridlines>
        <c:numFmt formatCode="General" sourceLinked="1"/>
        <c:majorTickMark val="out"/>
        <c:minorTickMark val="none"/>
        <c:tickLblPos val="nextTo"/>
        <c:crossAx val="7776563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'Reseau ferme'!$H$3</c:f>
              <c:strCache>
                <c:ptCount val="1"/>
                <c:pt idx="0">
                  <c:v>E</c:v>
                </c:pt>
              </c:strCache>
            </c:strRef>
          </c:tx>
          <c:spPr>
            <a:solidFill>
              <a:srgbClr val="7030A0"/>
            </a:solidFill>
            <a:ln>
              <a:solidFill>
                <a:schemeClr val="tx1"/>
              </a:solidFill>
            </a:ln>
            <a:scene3d>
              <a:camera prst="orthographicFront"/>
              <a:lightRig rig="threePt" dir="t"/>
            </a:scene3d>
            <a:sp3d>
              <a:bevelT w="190500" h="38100"/>
            </a:sp3d>
          </c:spPr>
          <c:invertIfNegative val="0"/>
          <c:val>
            <c:numRef>
              <c:f>'Reseau ferme'!$H$4:$H$7</c:f>
              <c:numCache>
                <c:formatCode>General</c:formatCode>
                <c:ptCount val="4"/>
                <c:pt idx="0">
                  <c:v>9.4</c:v>
                </c:pt>
                <c:pt idx="1">
                  <c:v>9.6999999999999993</c:v>
                </c:pt>
                <c:pt idx="2">
                  <c:v>9.6999999999999993</c:v>
                </c:pt>
                <c:pt idx="3">
                  <c:v>9.5</c:v>
                </c:pt>
              </c:numCache>
            </c:numRef>
          </c:val>
        </c:ser>
        <c:ser>
          <c:idx val="1"/>
          <c:order val="1"/>
          <c:tx>
            <c:strRef>
              <c:f>'Reseau ferme'!$K$3</c:f>
              <c:strCache>
                <c:ptCount val="1"/>
                <c:pt idx="0">
                  <c:v>x</c:v>
                </c:pt>
              </c:strCache>
            </c:strRef>
          </c:tx>
          <c:invertIfNegative val="0"/>
          <c:val>
            <c:numRef>
              <c:f>'Reseau ferme'!$K$4:$K$7</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76"/>
        <c:overlap val="-26"/>
        <c:axId val="79306752"/>
        <c:axId val="79308288"/>
      </c:barChart>
      <c:barChart>
        <c:barDir val="col"/>
        <c:grouping val="clustered"/>
        <c:varyColors val="0"/>
        <c:ser>
          <c:idx val="2"/>
          <c:order val="2"/>
          <c:tx>
            <c:strRef>
              <c:f>'Reseau ferme'!$K$3</c:f>
              <c:strCache>
                <c:ptCount val="1"/>
                <c:pt idx="0">
                  <c:v>x</c:v>
                </c:pt>
              </c:strCache>
            </c:strRef>
          </c:tx>
          <c:invertIfNegative val="0"/>
          <c:val>
            <c:numRef>
              <c:f>'Reseau ferme'!$K$4:$K$7</c:f>
              <c:numCache>
                <c:formatCode>General</c:formatCode>
                <c:ptCount val="4"/>
                <c:pt idx="0">
                  <c:v>0</c:v>
                </c:pt>
                <c:pt idx="1">
                  <c:v>0</c:v>
                </c:pt>
                <c:pt idx="2">
                  <c:v>0</c:v>
                </c:pt>
                <c:pt idx="3">
                  <c:v>0</c:v>
                </c:pt>
              </c:numCache>
            </c:numRef>
          </c:val>
        </c:ser>
        <c:ser>
          <c:idx val="3"/>
          <c:order val="3"/>
          <c:tx>
            <c:strRef>
              <c:f>'Reseau ferme'!$I$3</c:f>
              <c:strCache>
                <c:ptCount val="1"/>
                <c:pt idx="0">
                  <c:v>A</c:v>
                </c:pt>
              </c:strCache>
            </c:strRef>
          </c:tx>
          <c:spPr>
            <a:solidFill>
              <a:srgbClr val="92D050"/>
            </a:solidFill>
            <a:ln>
              <a:solidFill>
                <a:schemeClr val="tx1"/>
              </a:solidFill>
            </a:ln>
            <a:scene3d>
              <a:camera prst="orthographicFront"/>
              <a:lightRig rig="threePt" dir="t"/>
            </a:scene3d>
            <a:sp3d>
              <a:bevelT w="190500" h="38100"/>
            </a:sp3d>
          </c:spPr>
          <c:invertIfNegative val="0"/>
          <c:val>
            <c:numRef>
              <c:f>'Reseau ferme'!$I$4:$I$7</c:f>
              <c:numCache>
                <c:formatCode>0.00</c:formatCode>
                <c:ptCount val="4"/>
                <c:pt idx="0">
                  <c:v>0.65983576675127786</c:v>
                </c:pt>
                <c:pt idx="1">
                  <c:v>0.70279115244903867</c:v>
                </c:pt>
                <c:pt idx="2">
                  <c:v>0.77331341574344614</c:v>
                </c:pt>
                <c:pt idx="3">
                  <c:v>0.71382122367812362</c:v>
                </c:pt>
              </c:numCache>
            </c:numRef>
          </c:val>
        </c:ser>
        <c:dLbls>
          <c:showLegendKey val="0"/>
          <c:showVal val="0"/>
          <c:showCatName val="0"/>
          <c:showSerName val="0"/>
          <c:showPercent val="0"/>
          <c:showBubbleSize val="0"/>
        </c:dLbls>
        <c:gapWidth val="76"/>
        <c:overlap val="-24"/>
        <c:axId val="79352576"/>
        <c:axId val="79309824"/>
      </c:barChart>
      <c:catAx>
        <c:axId val="79306752"/>
        <c:scaling>
          <c:orientation val="minMax"/>
        </c:scaling>
        <c:delete val="0"/>
        <c:axPos val="b"/>
        <c:majorTickMark val="out"/>
        <c:minorTickMark val="none"/>
        <c:tickLblPos val="nextTo"/>
        <c:crossAx val="79308288"/>
        <c:crosses val="autoZero"/>
        <c:auto val="1"/>
        <c:lblAlgn val="ctr"/>
        <c:lblOffset val="100"/>
        <c:noMultiLvlLbl val="0"/>
      </c:catAx>
      <c:valAx>
        <c:axId val="79308288"/>
        <c:scaling>
          <c:orientation val="minMax"/>
          <c:max val="12"/>
        </c:scaling>
        <c:delete val="0"/>
        <c:axPos val="l"/>
        <c:majorGridlines>
          <c:spPr>
            <a:ln>
              <a:noFill/>
            </a:ln>
          </c:spPr>
        </c:majorGridlines>
        <c:numFmt formatCode="General" sourceLinked="1"/>
        <c:majorTickMark val="out"/>
        <c:minorTickMark val="none"/>
        <c:tickLblPos val="nextTo"/>
        <c:crossAx val="79306752"/>
        <c:crosses val="autoZero"/>
        <c:crossBetween val="between"/>
      </c:valAx>
      <c:valAx>
        <c:axId val="79309824"/>
        <c:scaling>
          <c:orientation val="minMax"/>
          <c:max val="0.8"/>
        </c:scaling>
        <c:delete val="0"/>
        <c:axPos val="r"/>
        <c:numFmt formatCode="General" sourceLinked="1"/>
        <c:majorTickMark val="out"/>
        <c:minorTickMark val="none"/>
        <c:tickLblPos val="nextTo"/>
        <c:crossAx val="79352576"/>
        <c:crosses val="max"/>
        <c:crossBetween val="between"/>
      </c:valAx>
      <c:catAx>
        <c:axId val="79352576"/>
        <c:scaling>
          <c:orientation val="minMax"/>
        </c:scaling>
        <c:delete val="1"/>
        <c:axPos val="b"/>
        <c:majorTickMark val="out"/>
        <c:minorTickMark val="none"/>
        <c:tickLblPos val="nextTo"/>
        <c:crossAx val="79309824"/>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Feuil1!$A$28</c:f>
              <c:strCache>
                <c:ptCount val="1"/>
                <c:pt idx="0">
                  <c:v>Juin</c:v>
                </c:pt>
              </c:strCache>
            </c:strRef>
          </c:tx>
          <c:spPr>
            <a:ln>
              <a:solidFill>
                <a:sysClr val="windowText" lastClr="000000"/>
              </a:solidFill>
            </a:ln>
            <a:scene3d>
              <a:camera prst="orthographicFront"/>
              <a:lightRig rig="threePt" dir="t"/>
            </a:scene3d>
            <a:sp3d>
              <a:bevelT w="190500" h="38100"/>
            </a:sp3d>
          </c:spPr>
          <c:invertIfNegative val="0"/>
          <c:cat>
            <c:numRef>
              <c:f>(Feuil1!$J$35;Feuil1!$D$35;Feuil1!$G$35;Feuil1!$L$35)</c:f>
              <c:numCache>
                <c:formatCode>General</c:formatCode>
                <c:ptCount val="4"/>
                <c:pt idx="0">
                  <c:v>1</c:v>
                </c:pt>
                <c:pt idx="1">
                  <c:v>2</c:v>
                </c:pt>
                <c:pt idx="2">
                  <c:v>3</c:v>
                </c:pt>
                <c:pt idx="3">
                  <c:v>4</c:v>
                </c:pt>
              </c:numCache>
            </c:numRef>
          </c:cat>
          <c:val>
            <c:numRef>
              <c:f>(Feuil1!$J$38;Feuil1!$D$38;Feuil1!$G$38;Feuil1!$M$38)</c:f>
              <c:numCache>
                <c:formatCode>General</c:formatCode>
                <c:ptCount val="4"/>
                <c:pt idx="0">
                  <c:v>0</c:v>
                </c:pt>
                <c:pt idx="1">
                  <c:v>0</c:v>
                </c:pt>
                <c:pt idx="2">
                  <c:v>0</c:v>
                </c:pt>
                <c:pt idx="3">
                  <c:v>0</c:v>
                </c:pt>
              </c:numCache>
            </c:numRef>
          </c:val>
        </c:ser>
        <c:ser>
          <c:idx val="0"/>
          <c:order val="1"/>
          <c:tx>
            <c:strRef>
              <c:f>Feuil1!$A$29</c:f>
              <c:strCache>
                <c:ptCount val="1"/>
                <c:pt idx="0">
                  <c:v>Juillet</c:v>
                </c:pt>
              </c:strCache>
            </c:strRef>
          </c:tx>
          <c:spPr>
            <a:ln>
              <a:solidFill>
                <a:sysClr val="windowText" lastClr="000000"/>
              </a:solidFill>
            </a:ln>
            <a:scene3d>
              <a:camera prst="orthographicFront"/>
              <a:lightRig rig="threePt" dir="t"/>
            </a:scene3d>
            <a:sp3d>
              <a:bevelT w="190500" h="38100"/>
            </a:sp3d>
          </c:spPr>
          <c:invertIfNegative val="0"/>
          <c:cat>
            <c:numRef>
              <c:f>(Feuil1!$J$35;Feuil1!$D$35;Feuil1!$G$35;Feuil1!$L$35)</c:f>
              <c:numCache>
                <c:formatCode>General</c:formatCode>
                <c:ptCount val="4"/>
                <c:pt idx="0">
                  <c:v>1</c:v>
                </c:pt>
                <c:pt idx="1">
                  <c:v>2</c:v>
                </c:pt>
                <c:pt idx="2">
                  <c:v>3</c:v>
                </c:pt>
                <c:pt idx="3">
                  <c:v>4</c:v>
                </c:pt>
              </c:numCache>
            </c:numRef>
          </c:cat>
          <c:val>
            <c:numRef>
              <c:f>(Feuil1!$J$39;Feuil1!$D$39;Feuil1!$G$39;Feuil1!$M$39)</c:f>
              <c:numCache>
                <c:formatCode>General</c:formatCode>
                <c:ptCount val="4"/>
                <c:pt idx="0">
                  <c:v>2</c:v>
                </c:pt>
                <c:pt idx="1">
                  <c:v>5</c:v>
                </c:pt>
                <c:pt idx="2">
                  <c:v>1</c:v>
                </c:pt>
                <c:pt idx="3">
                  <c:v>0</c:v>
                </c:pt>
              </c:numCache>
            </c:numRef>
          </c:val>
        </c:ser>
        <c:ser>
          <c:idx val="2"/>
          <c:order val="2"/>
          <c:tx>
            <c:strRef>
              <c:f>Feuil1!$A$30</c:f>
              <c:strCache>
                <c:ptCount val="1"/>
                <c:pt idx="0">
                  <c:v>Août</c:v>
                </c:pt>
              </c:strCache>
            </c:strRef>
          </c:tx>
          <c:spPr>
            <a:ln>
              <a:solidFill>
                <a:sysClr val="windowText" lastClr="000000"/>
              </a:solidFill>
            </a:ln>
            <a:scene3d>
              <a:camera prst="orthographicFront"/>
              <a:lightRig rig="threePt" dir="t"/>
            </a:scene3d>
            <a:sp3d>
              <a:bevelT w="190500" h="38100"/>
            </a:sp3d>
          </c:spPr>
          <c:invertIfNegative val="0"/>
          <c:cat>
            <c:numRef>
              <c:f>(Feuil1!$J$35;Feuil1!$D$35;Feuil1!$G$35;Feuil1!$L$35)</c:f>
              <c:numCache>
                <c:formatCode>General</c:formatCode>
                <c:ptCount val="4"/>
                <c:pt idx="0">
                  <c:v>1</c:v>
                </c:pt>
                <c:pt idx="1">
                  <c:v>2</c:v>
                </c:pt>
                <c:pt idx="2">
                  <c:v>3</c:v>
                </c:pt>
                <c:pt idx="3">
                  <c:v>4</c:v>
                </c:pt>
              </c:numCache>
            </c:numRef>
          </c:cat>
          <c:val>
            <c:numRef>
              <c:f>(Feuil1!$J$40;Feuil1!$D$40;Feuil1!$G$40;Feuil1!$M$40)</c:f>
              <c:numCache>
                <c:formatCode>General</c:formatCode>
                <c:ptCount val="4"/>
                <c:pt idx="0">
                  <c:v>0</c:v>
                </c:pt>
                <c:pt idx="1">
                  <c:v>1</c:v>
                </c:pt>
                <c:pt idx="2">
                  <c:v>0</c:v>
                </c:pt>
                <c:pt idx="3">
                  <c:v>0</c:v>
                </c:pt>
              </c:numCache>
            </c:numRef>
          </c:val>
        </c:ser>
        <c:dLbls>
          <c:showLegendKey val="0"/>
          <c:showVal val="0"/>
          <c:showCatName val="0"/>
          <c:showSerName val="0"/>
          <c:showPercent val="0"/>
          <c:showBubbleSize val="0"/>
        </c:dLbls>
        <c:gapWidth val="150"/>
        <c:overlap val="100"/>
        <c:axId val="79256192"/>
        <c:axId val="81060224"/>
      </c:barChart>
      <c:catAx>
        <c:axId val="79256192"/>
        <c:scaling>
          <c:orientation val="minMax"/>
        </c:scaling>
        <c:delete val="0"/>
        <c:axPos val="b"/>
        <c:numFmt formatCode="General" sourceLinked="1"/>
        <c:majorTickMark val="out"/>
        <c:minorTickMark val="none"/>
        <c:tickLblPos val="nextTo"/>
        <c:crossAx val="81060224"/>
        <c:crosses val="autoZero"/>
        <c:auto val="1"/>
        <c:lblAlgn val="ctr"/>
        <c:lblOffset val="100"/>
        <c:noMultiLvlLbl val="0"/>
      </c:catAx>
      <c:valAx>
        <c:axId val="81060224"/>
        <c:scaling>
          <c:orientation val="minMax"/>
        </c:scaling>
        <c:delete val="0"/>
        <c:axPos val="l"/>
        <c:majorGridlines>
          <c:spPr>
            <a:ln>
              <a:noFill/>
            </a:ln>
          </c:spPr>
        </c:majorGridlines>
        <c:numFmt formatCode="General" sourceLinked="1"/>
        <c:majorTickMark val="out"/>
        <c:minorTickMark val="none"/>
        <c:tickLblPos val="nextTo"/>
        <c:crossAx val="792561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Nombre de parasitoïdes</c:v>
          </c:tx>
          <c:spPr>
            <a:ln>
              <a:solidFill>
                <a:schemeClr val="tx1"/>
              </a:solidFill>
            </a:ln>
            <a:scene3d>
              <a:camera prst="orthographicFront"/>
              <a:lightRig rig="threePt" dir="t"/>
            </a:scene3d>
            <a:sp3d>
              <a:bevelT w="190500" h="38100"/>
            </a:sp3d>
          </c:spPr>
          <c:invertIfNegative val="0"/>
          <c:cat>
            <c:multiLvlStrRef>
              <c:f>Feuil2!$A$13:$B$17</c:f>
              <c:multiLvlStrCache>
                <c:ptCount val="5"/>
                <c:lvl>
                  <c:pt idx="0">
                    <c:v>A. aurantii</c:v>
                  </c:pt>
                  <c:pt idx="1">
                    <c:v>A. aurantii</c:v>
                  </c:pt>
                  <c:pt idx="2">
                    <c:v>P. pergandei</c:v>
                  </c:pt>
                  <c:pt idx="3">
                    <c:v>A. aurantii</c:v>
                  </c:pt>
                  <c:pt idx="4">
                    <c:v>P. pergandei</c:v>
                  </c:pt>
                </c:lvl>
                <c:lvl>
                  <c:pt idx="0">
                    <c:v>2</c:v>
                  </c:pt>
                  <c:pt idx="1">
                    <c:v>3</c:v>
                  </c:pt>
                  <c:pt idx="3">
                    <c:v>5</c:v>
                  </c:pt>
                  <c:pt idx="4">
                    <c:v>4</c:v>
                  </c:pt>
                </c:lvl>
              </c:multiLvlStrCache>
            </c:multiLvlStrRef>
          </c:cat>
          <c:val>
            <c:numRef>
              <c:f>Feuil2!$C$13:$C$17</c:f>
              <c:numCache>
                <c:formatCode>General</c:formatCode>
                <c:ptCount val="5"/>
                <c:pt idx="0">
                  <c:v>8</c:v>
                </c:pt>
                <c:pt idx="1">
                  <c:v>74</c:v>
                </c:pt>
                <c:pt idx="2">
                  <c:v>2</c:v>
                </c:pt>
                <c:pt idx="3">
                  <c:v>20</c:v>
                </c:pt>
                <c:pt idx="4">
                  <c:v>11</c:v>
                </c:pt>
              </c:numCache>
            </c:numRef>
          </c:val>
        </c:ser>
        <c:dLbls>
          <c:showLegendKey val="0"/>
          <c:showVal val="0"/>
          <c:showCatName val="0"/>
          <c:showSerName val="0"/>
          <c:showPercent val="0"/>
          <c:showBubbleSize val="0"/>
        </c:dLbls>
        <c:gapWidth val="75"/>
        <c:overlap val="-25"/>
        <c:axId val="81547264"/>
        <c:axId val="81548800"/>
      </c:barChart>
      <c:catAx>
        <c:axId val="81547264"/>
        <c:scaling>
          <c:orientation val="minMax"/>
        </c:scaling>
        <c:delete val="0"/>
        <c:axPos val="b"/>
        <c:numFmt formatCode="General" sourceLinked="0"/>
        <c:majorTickMark val="none"/>
        <c:minorTickMark val="none"/>
        <c:tickLblPos val="nextTo"/>
        <c:txPr>
          <a:bodyPr/>
          <a:lstStyle/>
          <a:p>
            <a:pPr>
              <a:defRPr i="1"/>
            </a:pPr>
            <a:endParaRPr lang="fr-FR"/>
          </a:p>
        </c:txPr>
        <c:crossAx val="81548800"/>
        <c:crosses val="autoZero"/>
        <c:auto val="1"/>
        <c:lblAlgn val="ctr"/>
        <c:lblOffset val="100"/>
        <c:noMultiLvlLbl val="0"/>
      </c:catAx>
      <c:valAx>
        <c:axId val="81548800"/>
        <c:scaling>
          <c:orientation val="minMax"/>
        </c:scaling>
        <c:delete val="0"/>
        <c:axPos val="l"/>
        <c:majorGridlines>
          <c:spPr>
            <a:ln>
              <a:noFill/>
            </a:ln>
          </c:spPr>
        </c:majorGridlines>
        <c:numFmt formatCode="General" sourceLinked="1"/>
        <c:majorTickMark val="out"/>
        <c:minorTickMark val="none"/>
        <c:tickLblPos val="nextTo"/>
        <c:crossAx val="81547264"/>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c:f>
              <c:strCache>
                <c:ptCount val="1"/>
                <c:pt idx="0">
                  <c:v>Précipitation</c:v>
                </c:pt>
              </c:strCache>
            </c:strRef>
          </c:tx>
          <c:spPr>
            <a:solidFill>
              <a:srgbClr val="002060"/>
            </a:solidFill>
          </c:spPr>
          <c:invertIfNegative val="0"/>
          <c:cat>
            <c:numRef>
              <c:f>Feuil1!$B$2:$B$366</c:f>
              <c:numCache>
                <c:formatCode>d/m;@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Feuil1!$C$2:$C$366</c:f>
              <c:numCache>
                <c:formatCode>General</c:formatCode>
                <c:ptCount val="365"/>
                <c:pt idx="0">
                  <c:v>0</c:v>
                </c:pt>
                <c:pt idx="1">
                  <c:v>0</c:v>
                </c:pt>
                <c:pt idx="2">
                  <c:v>0</c:v>
                </c:pt>
                <c:pt idx="3">
                  <c:v>0</c:v>
                </c:pt>
                <c:pt idx="4">
                  <c:v>0</c:v>
                </c:pt>
                <c:pt idx="5">
                  <c:v>1</c:v>
                </c:pt>
                <c:pt idx="6">
                  <c:v>0</c:v>
                </c:pt>
                <c:pt idx="7">
                  <c:v>0</c:v>
                </c:pt>
                <c:pt idx="8">
                  <c:v>0.5</c:v>
                </c:pt>
                <c:pt idx="9">
                  <c:v>0</c:v>
                </c:pt>
                <c:pt idx="10">
                  <c:v>0</c:v>
                </c:pt>
                <c:pt idx="11">
                  <c:v>0</c:v>
                </c:pt>
                <c:pt idx="12">
                  <c:v>0</c:v>
                </c:pt>
                <c:pt idx="13">
                  <c:v>0</c:v>
                </c:pt>
                <c:pt idx="14">
                  <c:v>0.5</c:v>
                </c:pt>
                <c:pt idx="15">
                  <c:v>0</c:v>
                </c:pt>
                <c:pt idx="16">
                  <c:v>0</c:v>
                </c:pt>
                <c:pt idx="17">
                  <c:v>0</c:v>
                </c:pt>
                <c:pt idx="18">
                  <c:v>0</c:v>
                </c:pt>
                <c:pt idx="19">
                  <c:v>1</c:v>
                </c:pt>
                <c:pt idx="20">
                  <c:v>0</c:v>
                </c:pt>
                <c:pt idx="21">
                  <c:v>5</c:v>
                </c:pt>
                <c:pt idx="22">
                  <c:v>0</c:v>
                </c:pt>
                <c:pt idx="23">
                  <c:v>0</c:v>
                </c:pt>
                <c:pt idx="24">
                  <c:v>0</c:v>
                </c:pt>
                <c:pt idx="25">
                  <c:v>0</c:v>
                </c:pt>
                <c:pt idx="26">
                  <c:v>0</c:v>
                </c:pt>
                <c:pt idx="27">
                  <c:v>0</c:v>
                </c:pt>
                <c:pt idx="28">
                  <c:v>2.5</c:v>
                </c:pt>
                <c:pt idx="29">
                  <c:v>0</c:v>
                </c:pt>
                <c:pt idx="30">
                  <c:v>3</c:v>
                </c:pt>
                <c:pt idx="31">
                  <c:v>0</c:v>
                </c:pt>
                <c:pt idx="32">
                  <c:v>1.5</c:v>
                </c:pt>
                <c:pt idx="33">
                  <c:v>28.5</c:v>
                </c:pt>
                <c:pt idx="34">
                  <c:v>12</c:v>
                </c:pt>
                <c:pt idx="35">
                  <c:v>12</c:v>
                </c:pt>
                <c:pt idx="36">
                  <c:v>11.5</c:v>
                </c:pt>
                <c:pt idx="37">
                  <c:v>0.5</c:v>
                </c:pt>
                <c:pt idx="38">
                  <c:v>0</c:v>
                </c:pt>
                <c:pt idx="39">
                  <c:v>0</c:v>
                </c:pt>
                <c:pt idx="40">
                  <c:v>0</c:v>
                </c:pt>
                <c:pt idx="41">
                  <c:v>0.5</c:v>
                </c:pt>
                <c:pt idx="42">
                  <c:v>0</c:v>
                </c:pt>
                <c:pt idx="43">
                  <c:v>0</c:v>
                </c:pt>
                <c:pt idx="44">
                  <c:v>0.5</c:v>
                </c:pt>
                <c:pt idx="45">
                  <c:v>25.5</c:v>
                </c:pt>
                <c:pt idx="46">
                  <c:v>43.5</c:v>
                </c:pt>
                <c:pt idx="47">
                  <c:v>0</c:v>
                </c:pt>
                <c:pt idx="48">
                  <c:v>0</c:v>
                </c:pt>
                <c:pt idx="49">
                  <c:v>0</c:v>
                </c:pt>
                <c:pt idx="50">
                  <c:v>0</c:v>
                </c:pt>
                <c:pt idx="51">
                  <c:v>23.5</c:v>
                </c:pt>
                <c:pt idx="52">
                  <c:v>0</c:v>
                </c:pt>
                <c:pt idx="53">
                  <c:v>0</c:v>
                </c:pt>
                <c:pt idx="54">
                  <c:v>15</c:v>
                </c:pt>
                <c:pt idx="55">
                  <c:v>1.5</c:v>
                </c:pt>
                <c:pt idx="56">
                  <c:v>0</c:v>
                </c:pt>
                <c:pt idx="57">
                  <c:v>0</c:v>
                </c:pt>
                <c:pt idx="58">
                  <c:v>0.5</c:v>
                </c:pt>
                <c:pt idx="59">
                  <c:v>0</c:v>
                </c:pt>
                <c:pt idx="60">
                  <c:v>0</c:v>
                </c:pt>
                <c:pt idx="61">
                  <c:v>0</c:v>
                </c:pt>
                <c:pt idx="62">
                  <c:v>40.5</c:v>
                </c:pt>
                <c:pt idx="63">
                  <c:v>1</c:v>
                </c:pt>
                <c:pt idx="64">
                  <c:v>0</c:v>
                </c:pt>
                <c:pt idx="65">
                  <c:v>0</c:v>
                </c:pt>
                <c:pt idx="66">
                  <c:v>0</c:v>
                </c:pt>
                <c:pt idx="67">
                  <c:v>0</c:v>
                </c:pt>
                <c:pt idx="68">
                  <c:v>0</c:v>
                </c:pt>
                <c:pt idx="69">
                  <c:v>0</c:v>
                </c:pt>
                <c:pt idx="70">
                  <c:v>0</c:v>
                </c:pt>
                <c:pt idx="71">
                  <c:v>0</c:v>
                </c:pt>
                <c:pt idx="72">
                  <c:v>19.5</c:v>
                </c:pt>
                <c:pt idx="73">
                  <c:v>37.5</c:v>
                </c:pt>
                <c:pt idx="74">
                  <c:v>83</c:v>
                </c:pt>
                <c:pt idx="75">
                  <c:v>15.5</c:v>
                </c:pt>
                <c:pt idx="76">
                  <c:v>0</c:v>
                </c:pt>
                <c:pt idx="77">
                  <c:v>0</c:v>
                </c:pt>
                <c:pt idx="78">
                  <c:v>0</c:v>
                </c:pt>
                <c:pt idx="79">
                  <c:v>9.5</c:v>
                </c:pt>
                <c:pt idx="80">
                  <c:v>3</c:v>
                </c:pt>
                <c:pt idx="81">
                  <c:v>0</c:v>
                </c:pt>
                <c:pt idx="82">
                  <c:v>18.5</c:v>
                </c:pt>
                <c:pt idx="83">
                  <c:v>33.5</c:v>
                </c:pt>
                <c:pt idx="84">
                  <c:v>0</c:v>
                </c:pt>
                <c:pt idx="85">
                  <c:v>0</c:v>
                </c:pt>
                <c:pt idx="86">
                  <c:v>0</c:v>
                </c:pt>
                <c:pt idx="87">
                  <c:v>0</c:v>
                </c:pt>
                <c:pt idx="88">
                  <c:v>0</c:v>
                </c:pt>
                <c:pt idx="89">
                  <c:v>0</c:v>
                </c:pt>
                <c:pt idx="90">
                  <c:v>0</c:v>
                </c:pt>
                <c:pt idx="91">
                  <c:v>0</c:v>
                </c:pt>
                <c:pt idx="92">
                  <c:v>0</c:v>
                </c:pt>
                <c:pt idx="93">
                  <c:v>18</c:v>
                </c:pt>
                <c:pt idx="94">
                  <c:v>5</c:v>
                </c:pt>
                <c:pt idx="95">
                  <c:v>0.5</c:v>
                </c:pt>
                <c:pt idx="96">
                  <c:v>0</c:v>
                </c:pt>
                <c:pt idx="97">
                  <c:v>0</c:v>
                </c:pt>
                <c:pt idx="98">
                  <c:v>0</c:v>
                </c:pt>
                <c:pt idx="99">
                  <c:v>0</c:v>
                </c:pt>
                <c:pt idx="100">
                  <c:v>0</c:v>
                </c:pt>
                <c:pt idx="101">
                  <c:v>0</c:v>
                </c:pt>
                <c:pt idx="102">
                  <c:v>0.5</c:v>
                </c:pt>
                <c:pt idx="103">
                  <c:v>0</c:v>
                </c:pt>
                <c:pt idx="104">
                  <c:v>0</c:v>
                </c:pt>
                <c:pt idx="105">
                  <c:v>0.5</c:v>
                </c:pt>
                <c:pt idx="106">
                  <c:v>0</c:v>
                </c:pt>
                <c:pt idx="107">
                  <c:v>0</c:v>
                </c:pt>
                <c:pt idx="108">
                  <c:v>3</c:v>
                </c:pt>
                <c:pt idx="109">
                  <c:v>0</c:v>
                </c:pt>
                <c:pt idx="110">
                  <c:v>0</c:v>
                </c:pt>
                <c:pt idx="111">
                  <c:v>0</c:v>
                </c:pt>
                <c:pt idx="112">
                  <c:v>0</c:v>
                </c:pt>
                <c:pt idx="113">
                  <c:v>0</c:v>
                </c:pt>
                <c:pt idx="114">
                  <c:v>0.5</c:v>
                </c:pt>
                <c:pt idx="115">
                  <c:v>0</c:v>
                </c:pt>
                <c:pt idx="116">
                  <c:v>0</c:v>
                </c:pt>
                <c:pt idx="117">
                  <c:v>1</c:v>
                </c:pt>
                <c:pt idx="118">
                  <c:v>0</c:v>
                </c:pt>
                <c:pt idx="119">
                  <c:v>0.5</c:v>
                </c:pt>
                <c:pt idx="120">
                  <c:v>0</c:v>
                </c:pt>
                <c:pt idx="121">
                  <c:v>0</c:v>
                </c:pt>
                <c:pt idx="122">
                  <c:v>0</c:v>
                </c:pt>
                <c:pt idx="123">
                  <c:v>0</c:v>
                </c:pt>
                <c:pt idx="124">
                  <c:v>0</c:v>
                </c:pt>
                <c:pt idx="125">
                  <c:v>0</c:v>
                </c:pt>
                <c:pt idx="126">
                  <c:v>0.5</c:v>
                </c:pt>
                <c:pt idx="127">
                  <c:v>0</c:v>
                </c:pt>
                <c:pt idx="128">
                  <c:v>0</c:v>
                </c:pt>
                <c:pt idx="129">
                  <c:v>0</c:v>
                </c:pt>
                <c:pt idx="130">
                  <c:v>0</c:v>
                </c:pt>
                <c:pt idx="131">
                  <c:v>0.5</c:v>
                </c:pt>
                <c:pt idx="132">
                  <c:v>0</c:v>
                </c:pt>
                <c:pt idx="133">
                  <c:v>0</c:v>
                </c:pt>
                <c:pt idx="134">
                  <c:v>9.5</c:v>
                </c:pt>
                <c:pt idx="135">
                  <c:v>0</c:v>
                </c:pt>
                <c:pt idx="136">
                  <c:v>0</c:v>
                </c:pt>
                <c:pt idx="137">
                  <c:v>0</c:v>
                </c:pt>
                <c:pt idx="138">
                  <c:v>0</c:v>
                </c:pt>
                <c:pt idx="139">
                  <c:v>0.5</c:v>
                </c:pt>
                <c:pt idx="140">
                  <c:v>0.5</c:v>
                </c:pt>
                <c:pt idx="141">
                  <c:v>0.5</c:v>
                </c:pt>
                <c:pt idx="142">
                  <c:v>5.5</c:v>
                </c:pt>
                <c:pt idx="143">
                  <c:v>0</c:v>
                </c:pt>
                <c:pt idx="144">
                  <c:v>0</c:v>
                </c:pt>
                <c:pt idx="145">
                  <c:v>0</c:v>
                </c:pt>
                <c:pt idx="146">
                  <c:v>0</c:v>
                </c:pt>
                <c:pt idx="147">
                  <c:v>0</c:v>
                </c:pt>
                <c:pt idx="148">
                  <c:v>0</c:v>
                </c:pt>
                <c:pt idx="149">
                  <c:v>0</c:v>
                </c:pt>
                <c:pt idx="150">
                  <c:v>0.5</c:v>
                </c:pt>
                <c:pt idx="151">
                  <c:v>0</c:v>
                </c:pt>
                <c:pt idx="152">
                  <c:v>0</c:v>
                </c:pt>
                <c:pt idx="153">
                  <c:v>0</c:v>
                </c:pt>
                <c:pt idx="154">
                  <c:v>0</c:v>
                </c:pt>
                <c:pt idx="155">
                  <c:v>0</c:v>
                </c:pt>
                <c:pt idx="156">
                  <c:v>0</c:v>
                </c:pt>
                <c:pt idx="157">
                  <c:v>0</c:v>
                </c:pt>
                <c:pt idx="158">
                  <c:v>0</c:v>
                </c:pt>
                <c:pt idx="159">
                  <c:v>2</c:v>
                </c:pt>
                <c:pt idx="160">
                  <c:v>0</c:v>
                </c:pt>
                <c:pt idx="161">
                  <c:v>0</c:v>
                </c:pt>
                <c:pt idx="162">
                  <c:v>3.5</c:v>
                </c:pt>
                <c:pt idx="163">
                  <c:v>0</c:v>
                </c:pt>
                <c:pt idx="164">
                  <c:v>0</c:v>
                </c:pt>
                <c:pt idx="165">
                  <c:v>19</c:v>
                </c:pt>
                <c:pt idx="166">
                  <c:v>1</c:v>
                </c:pt>
                <c:pt idx="167">
                  <c:v>0</c:v>
                </c:pt>
                <c:pt idx="168">
                  <c:v>0</c:v>
                </c:pt>
                <c:pt idx="169">
                  <c:v>0</c:v>
                </c:pt>
                <c:pt idx="170">
                  <c:v>0</c:v>
                </c:pt>
                <c:pt idx="171">
                  <c:v>0.5</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58</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9</c:v>
                </c:pt>
                <c:pt idx="221">
                  <c:v>7.5</c:v>
                </c:pt>
                <c:pt idx="222">
                  <c:v>0</c:v>
                </c:pt>
                <c:pt idx="223">
                  <c:v>0.5</c:v>
                </c:pt>
                <c:pt idx="224">
                  <c:v>0</c:v>
                </c:pt>
                <c:pt idx="225">
                  <c:v>0</c:v>
                </c:pt>
                <c:pt idx="226">
                  <c:v>1.5</c:v>
                </c:pt>
                <c:pt idx="227">
                  <c:v>8.5</c:v>
                </c:pt>
                <c:pt idx="228">
                  <c:v>0</c:v>
                </c:pt>
                <c:pt idx="229">
                  <c:v>0</c:v>
                </c:pt>
                <c:pt idx="230">
                  <c:v>0.5</c:v>
                </c:pt>
                <c:pt idx="231">
                  <c:v>0</c:v>
                </c:pt>
                <c:pt idx="232">
                  <c:v>0</c:v>
                </c:pt>
                <c:pt idx="233">
                  <c:v>0</c:v>
                </c:pt>
                <c:pt idx="234">
                  <c:v>0</c:v>
                </c:pt>
                <c:pt idx="235">
                  <c:v>1.5</c:v>
                </c:pt>
                <c:pt idx="236">
                  <c:v>0</c:v>
                </c:pt>
                <c:pt idx="237">
                  <c:v>0</c:v>
                </c:pt>
                <c:pt idx="238">
                  <c:v>0</c:v>
                </c:pt>
                <c:pt idx="239">
                  <c:v>0.5</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23.5</c:v>
                </c:pt>
                <c:pt idx="255">
                  <c:v>5.5</c:v>
                </c:pt>
                <c:pt idx="256">
                  <c:v>0</c:v>
                </c:pt>
                <c:pt idx="257">
                  <c:v>0</c:v>
                </c:pt>
                <c:pt idx="258">
                  <c:v>0</c:v>
                </c:pt>
                <c:pt idx="259">
                  <c:v>0</c:v>
                </c:pt>
                <c:pt idx="260">
                  <c:v>0</c:v>
                </c:pt>
                <c:pt idx="261">
                  <c:v>0</c:v>
                </c:pt>
                <c:pt idx="262">
                  <c:v>0</c:v>
                </c:pt>
                <c:pt idx="263">
                  <c:v>0</c:v>
                </c:pt>
                <c:pt idx="264">
                  <c:v>0.5</c:v>
                </c:pt>
                <c:pt idx="265">
                  <c:v>0</c:v>
                </c:pt>
                <c:pt idx="266">
                  <c:v>0</c:v>
                </c:pt>
                <c:pt idx="267">
                  <c:v>0</c:v>
                </c:pt>
                <c:pt idx="268">
                  <c:v>0</c:v>
                </c:pt>
                <c:pt idx="269">
                  <c:v>0</c:v>
                </c:pt>
                <c:pt idx="270">
                  <c:v>0</c:v>
                </c:pt>
                <c:pt idx="271">
                  <c:v>0</c:v>
                </c:pt>
                <c:pt idx="272">
                  <c:v>20.5</c:v>
                </c:pt>
                <c:pt idx="273">
                  <c:v>149</c:v>
                </c:pt>
                <c:pt idx="274">
                  <c:v>16.5</c:v>
                </c:pt>
                <c:pt idx="275">
                  <c:v>0</c:v>
                </c:pt>
                <c:pt idx="276">
                  <c:v>0</c:v>
                </c:pt>
                <c:pt idx="277">
                  <c:v>0</c:v>
                </c:pt>
                <c:pt idx="278">
                  <c:v>0</c:v>
                </c:pt>
                <c:pt idx="279">
                  <c:v>0.5</c:v>
                </c:pt>
                <c:pt idx="280">
                  <c:v>0</c:v>
                </c:pt>
                <c:pt idx="281">
                  <c:v>10.5</c:v>
                </c:pt>
                <c:pt idx="282">
                  <c:v>17</c:v>
                </c:pt>
                <c:pt idx="283">
                  <c:v>0</c:v>
                </c:pt>
                <c:pt idx="284">
                  <c:v>0.5</c:v>
                </c:pt>
                <c:pt idx="285">
                  <c:v>5.5</c:v>
                </c:pt>
                <c:pt idx="286">
                  <c:v>4.5</c:v>
                </c:pt>
                <c:pt idx="287">
                  <c:v>0</c:v>
                </c:pt>
                <c:pt idx="288">
                  <c:v>0</c:v>
                </c:pt>
                <c:pt idx="289">
                  <c:v>0</c:v>
                </c:pt>
                <c:pt idx="290">
                  <c:v>0</c:v>
                </c:pt>
                <c:pt idx="291">
                  <c:v>0</c:v>
                </c:pt>
                <c:pt idx="292">
                  <c:v>0</c:v>
                </c:pt>
                <c:pt idx="293">
                  <c:v>0</c:v>
                </c:pt>
                <c:pt idx="294">
                  <c:v>0</c:v>
                </c:pt>
                <c:pt idx="295">
                  <c:v>0</c:v>
                </c:pt>
                <c:pt idx="296">
                  <c:v>0</c:v>
                </c:pt>
                <c:pt idx="297">
                  <c:v>0.5</c:v>
                </c:pt>
                <c:pt idx="298">
                  <c:v>7.5</c:v>
                </c:pt>
                <c:pt idx="299">
                  <c:v>1</c:v>
                </c:pt>
                <c:pt idx="300">
                  <c:v>3.5</c:v>
                </c:pt>
                <c:pt idx="301">
                  <c:v>2.5</c:v>
                </c:pt>
                <c:pt idx="302">
                  <c:v>0</c:v>
                </c:pt>
                <c:pt idx="303">
                  <c:v>0</c:v>
                </c:pt>
                <c:pt idx="304">
                  <c:v>0</c:v>
                </c:pt>
                <c:pt idx="305">
                  <c:v>0</c:v>
                </c:pt>
                <c:pt idx="306">
                  <c:v>1</c:v>
                </c:pt>
                <c:pt idx="307">
                  <c:v>1</c:v>
                </c:pt>
                <c:pt idx="308">
                  <c:v>0</c:v>
                </c:pt>
                <c:pt idx="309">
                  <c:v>1</c:v>
                </c:pt>
                <c:pt idx="310">
                  <c:v>0</c:v>
                </c:pt>
                <c:pt idx="311">
                  <c:v>0</c:v>
                </c:pt>
                <c:pt idx="312">
                  <c:v>0.5</c:v>
                </c:pt>
                <c:pt idx="313">
                  <c:v>0</c:v>
                </c:pt>
                <c:pt idx="314">
                  <c:v>0</c:v>
                </c:pt>
                <c:pt idx="315">
                  <c:v>0</c:v>
                </c:pt>
                <c:pt idx="316">
                  <c:v>0</c:v>
                </c:pt>
                <c:pt idx="317">
                  <c:v>0</c:v>
                </c:pt>
                <c:pt idx="318">
                  <c:v>0.5</c:v>
                </c:pt>
                <c:pt idx="319">
                  <c:v>0</c:v>
                </c:pt>
                <c:pt idx="320">
                  <c:v>0</c:v>
                </c:pt>
                <c:pt idx="321">
                  <c:v>0</c:v>
                </c:pt>
                <c:pt idx="322">
                  <c:v>0.5</c:v>
                </c:pt>
                <c:pt idx="323">
                  <c:v>0</c:v>
                </c:pt>
                <c:pt idx="324">
                  <c:v>12.5</c:v>
                </c:pt>
                <c:pt idx="325">
                  <c:v>0</c:v>
                </c:pt>
                <c:pt idx="326">
                  <c:v>2</c:v>
                </c:pt>
                <c:pt idx="327">
                  <c:v>1.5</c:v>
                </c:pt>
                <c:pt idx="328">
                  <c:v>7</c:v>
                </c:pt>
                <c:pt idx="329">
                  <c:v>1</c:v>
                </c:pt>
                <c:pt idx="330">
                  <c:v>0</c:v>
                </c:pt>
                <c:pt idx="331">
                  <c:v>0</c:v>
                </c:pt>
                <c:pt idx="332">
                  <c:v>0</c:v>
                </c:pt>
                <c:pt idx="333">
                  <c:v>0.5</c:v>
                </c:pt>
                <c:pt idx="334">
                  <c:v>10</c:v>
                </c:pt>
                <c:pt idx="335">
                  <c:v>0</c:v>
                </c:pt>
                <c:pt idx="336">
                  <c:v>0</c:v>
                </c:pt>
                <c:pt idx="337">
                  <c:v>0</c:v>
                </c:pt>
                <c:pt idx="338">
                  <c:v>0</c:v>
                </c:pt>
                <c:pt idx="339">
                  <c:v>1.5</c:v>
                </c:pt>
                <c:pt idx="340">
                  <c:v>1</c:v>
                </c:pt>
                <c:pt idx="341">
                  <c:v>0</c:v>
                </c:pt>
                <c:pt idx="342">
                  <c:v>0</c:v>
                </c:pt>
                <c:pt idx="343">
                  <c:v>0</c:v>
                </c:pt>
                <c:pt idx="344">
                  <c:v>0</c:v>
                </c:pt>
                <c:pt idx="345">
                  <c:v>0</c:v>
                </c:pt>
                <c:pt idx="346">
                  <c:v>0</c:v>
                </c:pt>
                <c:pt idx="347">
                  <c:v>0</c:v>
                </c:pt>
                <c:pt idx="348">
                  <c:v>0</c:v>
                </c:pt>
                <c:pt idx="349">
                  <c:v>0.5</c:v>
                </c:pt>
                <c:pt idx="350">
                  <c:v>0</c:v>
                </c:pt>
                <c:pt idx="351">
                  <c:v>0</c:v>
                </c:pt>
                <c:pt idx="352">
                  <c:v>0</c:v>
                </c:pt>
                <c:pt idx="353">
                  <c:v>0.5</c:v>
                </c:pt>
                <c:pt idx="354">
                  <c:v>0</c:v>
                </c:pt>
                <c:pt idx="355">
                  <c:v>0.5</c:v>
                </c:pt>
                <c:pt idx="356">
                  <c:v>0</c:v>
                </c:pt>
                <c:pt idx="357">
                  <c:v>0</c:v>
                </c:pt>
                <c:pt idx="358">
                  <c:v>0.5</c:v>
                </c:pt>
                <c:pt idx="359">
                  <c:v>0</c:v>
                </c:pt>
                <c:pt idx="360">
                  <c:v>0</c:v>
                </c:pt>
                <c:pt idx="361">
                  <c:v>0</c:v>
                </c:pt>
                <c:pt idx="362">
                  <c:v>0</c:v>
                </c:pt>
                <c:pt idx="363">
                  <c:v>0.5</c:v>
                </c:pt>
                <c:pt idx="364">
                  <c:v>0</c:v>
                </c:pt>
              </c:numCache>
            </c:numRef>
          </c:val>
        </c:ser>
        <c:dLbls>
          <c:showLegendKey val="0"/>
          <c:showVal val="0"/>
          <c:showCatName val="0"/>
          <c:showSerName val="0"/>
          <c:showPercent val="0"/>
          <c:showBubbleSize val="0"/>
        </c:dLbls>
        <c:gapWidth val="399"/>
        <c:overlap val="17"/>
        <c:axId val="81560320"/>
        <c:axId val="81558144"/>
      </c:barChart>
      <c:lineChart>
        <c:grouping val="standard"/>
        <c:varyColors val="0"/>
        <c:ser>
          <c:idx val="1"/>
          <c:order val="1"/>
          <c:tx>
            <c:strRef>
              <c:f>Feuil1!$D$1</c:f>
              <c:strCache>
                <c:ptCount val="1"/>
                <c:pt idx="0">
                  <c:v>Température moyenne</c:v>
                </c:pt>
              </c:strCache>
            </c:strRef>
          </c:tx>
          <c:spPr>
            <a:ln w="12700"/>
          </c:spPr>
          <c:marker>
            <c:symbol val="none"/>
          </c:marker>
          <c:cat>
            <c:numRef>
              <c:f>Feuil1!$B$2:$B$366</c:f>
              <c:numCache>
                <c:formatCode>d/m;@</c:formatCode>
                <c:ptCount val="365"/>
                <c:pt idx="0">
                  <c:v>42005</c:v>
                </c:pt>
                <c:pt idx="1">
                  <c:v>42006</c:v>
                </c:pt>
                <c:pt idx="2">
                  <c:v>42007</c:v>
                </c:pt>
                <c:pt idx="3">
                  <c:v>42008</c:v>
                </c:pt>
                <c:pt idx="4">
                  <c:v>42009</c:v>
                </c:pt>
                <c:pt idx="5">
                  <c:v>42010</c:v>
                </c:pt>
                <c:pt idx="6">
                  <c:v>42011</c:v>
                </c:pt>
                <c:pt idx="7">
                  <c:v>42012</c:v>
                </c:pt>
                <c:pt idx="8">
                  <c:v>42013</c:v>
                </c:pt>
                <c:pt idx="9">
                  <c:v>42014</c:v>
                </c:pt>
                <c:pt idx="10">
                  <c:v>42015</c:v>
                </c:pt>
                <c:pt idx="11">
                  <c:v>42016</c:v>
                </c:pt>
                <c:pt idx="12">
                  <c:v>42017</c:v>
                </c:pt>
                <c:pt idx="13">
                  <c:v>42018</c:v>
                </c:pt>
                <c:pt idx="14">
                  <c:v>42019</c:v>
                </c:pt>
                <c:pt idx="15">
                  <c:v>42020</c:v>
                </c:pt>
                <c:pt idx="16">
                  <c:v>42021</c:v>
                </c:pt>
                <c:pt idx="17">
                  <c:v>42022</c:v>
                </c:pt>
                <c:pt idx="18">
                  <c:v>42023</c:v>
                </c:pt>
                <c:pt idx="19">
                  <c:v>42024</c:v>
                </c:pt>
                <c:pt idx="20">
                  <c:v>42025</c:v>
                </c:pt>
                <c:pt idx="21">
                  <c:v>42026</c:v>
                </c:pt>
                <c:pt idx="22">
                  <c:v>42027</c:v>
                </c:pt>
                <c:pt idx="23">
                  <c:v>42028</c:v>
                </c:pt>
                <c:pt idx="24">
                  <c:v>42029</c:v>
                </c:pt>
                <c:pt idx="25">
                  <c:v>42030</c:v>
                </c:pt>
                <c:pt idx="26">
                  <c:v>42031</c:v>
                </c:pt>
                <c:pt idx="27">
                  <c:v>42032</c:v>
                </c:pt>
                <c:pt idx="28">
                  <c:v>42033</c:v>
                </c:pt>
                <c:pt idx="29">
                  <c:v>42034</c:v>
                </c:pt>
                <c:pt idx="30">
                  <c:v>42035</c:v>
                </c:pt>
                <c:pt idx="31">
                  <c:v>42036</c:v>
                </c:pt>
                <c:pt idx="32">
                  <c:v>42037</c:v>
                </c:pt>
                <c:pt idx="33">
                  <c:v>42038</c:v>
                </c:pt>
                <c:pt idx="34">
                  <c:v>42039</c:v>
                </c:pt>
                <c:pt idx="35">
                  <c:v>42040</c:v>
                </c:pt>
                <c:pt idx="36">
                  <c:v>42041</c:v>
                </c:pt>
                <c:pt idx="37">
                  <c:v>42042</c:v>
                </c:pt>
                <c:pt idx="38">
                  <c:v>42043</c:v>
                </c:pt>
                <c:pt idx="39">
                  <c:v>42044</c:v>
                </c:pt>
                <c:pt idx="40">
                  <c:v>42045</c:v>
                </c:pt>
                <c:pt idx="41">
                  <c:v>42046</c:v>
                </c:pt>
                <c:pt idx="42">
                  <c:v>42047</c:v>
                </c:pt>
                <c:pt idx="43">
                  <c:v>42048</c:v>
                </c:pt>
                <c:pt idx="44">
                  <c:v>42049</c:v>
                </c:pt>
                <c:pt idx="45">
                  <c:v>42050</c:v>
                </c:pt>
                <c:pt idx="46">
                  <c:v>42051</c:v>
                </c:pt>
                <c:pt idx="47">
                  <c:v>42052</c:v>
                </c:pt>
                <c:pt idx="48">
                  <c:v>42053</c:v>
                </c:pt>
                <c:pt idx="49">
                  <c:v>42054</c:v>
                </c:pt>
                <c:pt idx="50">
                  <c:v>42055</c:v>
                </c:pt>
                <c:pt idx="51">
                  <c:v>42056</c:v>
                </c:pt>
                <c:pt idx="52">
                  <c:v>42057</c:v>
                </c:pt>
                <c:pt idx="53">
                  <c:v>42058</c:v>
                </c:pt>
                <c:pt idx="54">
                  <c:v>42059</c:v>
                </c:pt>
                <c:pt idx="55">
                  <c:v>42060</c:v>
                </c:pt>
                <c:pt idx="56">
                  <c:v>42061</c:v>
                </c:pt>
                <c:pt idx="57">
                  <c:v>42062</c:v>
                </c:pt>
                <c:pt idx="58">
                  <c:v>42063</c:v>
                </c:pt>
                <c:pt idx="59">
                  <c:v>42064</c:v>
                </c:pt>
                <c:pt idx="60">
                  <c:v>42065</c:v>
                </c:pt>
                <c:pt idx="61">
                  <c:v>42066</c:v>
                </c:pt>
                <c:pt idx="62">
                  <c:v>42067</c:v>
                </c:pt>
                <c:pt idx="63">
                  <c:v>42068</c:v>
                </c:pt>
                <c:pt idx="64">
                  <c:v>42069</c:v>
                </c:pt>
                <c:pt idx="65">
                  <c:v>42070</c:v>
                </c:pt>
                <c:pt idx="66">
                  <c:v>42071</c:v>
                </c:pt>
                <c:pt idx="67">
                  <c:v>42072</c:v>
                </c:pt>
                <c:pt idx="68">
                  <c:v>42073</c:v>
                </c:pt>
                <c:pt idx="69">
                  <c:v>42074</c:v>
                </c:pt>
                <c:pt idx="70">
                  <c:v>42075</c:v>
                </c:pt>
                <c:pt idx="71">
                  <c:v>42076</c:v>
                </c:pt>
                <c:pt idx="72">
                  <c:v>42077</c:v>
                </c:pt>
                <c:pt idx="73">
                  <c:v>42078</c:v>
                </c:pt>
                <c:pt idx="74">
                  <c:v>42079</c:v>
                </c:pt>
                <c:pt idx="75">
                  <c:v>42080</c:v>
                </c:pt>
                <c:pt idx="76">
                  <c:v>42081</c:v>
                </c:pt>
                <c:pt idx="77">
                  <c:v>42082</c:v>
                </c:pt>
                <c:pt idx="78">
                  <c:v>42083</c:v>
                </c:pt>
                <c:pt idx="79">
                  <c:v>42084</c:v>
                </c:pt>
                <c:pt idx="80">
                  <c:v>42085</c:v>
                </c:pt>
                <c:pt idx="81">
                  <c:v>42086</c:v>
                </c:pt>
                <c:pt idx="82">
                  <c:v>42087</c:v>
                </c:pt>
                <c:pt idx="83">
                  <c:v>42088</c:v>
                </c:pt>
                <c:pt idx="84">
                  <c:v>42089</c:v>
                </c:pt>
                <c:pt idx="85">
                  <c:v>42090</c:v>
                </c:pt>
                <c:pt idx="86">
                  <c:v>42091</c:v>
                </c:pt>
                <c:pt idx="87">
                  <c:v>42092</c:v>
                </c:pt>
                <c:pt idx="88">
                  <c:v>42093</c:v>
                </c:pt>
                <c:pt idx="89">
                  <c:v>42094</c:v>
                </c:pt>
                <c:pt idx="90">
                  <c:v>42095</c:v>
                </c:pt>
                <c:pt idx="91">
                  <c:v>42096</c:v>
                </c:pt>
                <c:pt idx="92">
                  <c:v>42097</c:v>
                </c:pt>
                <c:pt idx="93">
                  <c:v>42098</c:v>
                </c:pt>
                <c:pt idx="94">
                  <c:v>42099</c:v>
                </c:pt>
                <c:pt idx="95">
                  <c:v>42100</c:v>
                </c:pt>
                <c:pt idx="96">
                  <c:v>42101</c:v>
                </c:pt>
                <c:pt idx="97">
                  <c:v>42102</c:v>
                </c:pt>
                <c:pt idx="98">
                  <c:v>42103</c:v>
                </c:pt>
                <c:pt idx="99">
                  <c:v>42104</c:v>
                </c:pt>
                <c:pt idx="100">
                  <c:v>42105</c:v>
                </c:pt>
                <c:pt idx="101">
                  <c:v>42106</c:v>
                </c:pt>
                <c:pt idx="102">
                  <c:v>42107</c:v>
                </c:pt>
                <c:pt idx="103">
                  <c:v>42108</c:v>
                </c:pt>
                <c:pt idx="104">
                  <c:v>42109</c:v>
                </c:pt>
                <c:pt idx="105">
                  <c:v>42110</c:v>
                </c:pt>
                <c:pt idx="106">
                  <c:v>42111</c:v>
                </c:pt>
                <c:pt idx="107">
                  <c:v>42112</c:v>
                </c:pt>
                <c:pt idx="108">
                  <c:v>42113</c:v>
                </c:pt>
                <c:pt idx="109">
                  <c:v>42114</c:v>
                </c:pt>
                <c:pt idx="110">
                  <c:v>42115</c:v>
                </c:pt>
                <c:pt idx="111">
                  <c:v>42116</c:v>
                </c:pt>
                <c:pt idx="112">
                  <c:v>42117</c:v>
                </c:pt>
                <c:pt idx="113">
                  <c:v>42118</c:v>
                </c:pt>
                <c:pt idx="114">
                  <c:v>42119</c:v>
                </c:pt>
                <c:pt idx="115">
                  <c:v>42120</c:v>
                </c:pt>
                <c:pt idx="116">
                  <c:v>42121</c:v>
                </c:pt>
                <c:pt idx="117">
                  <c:v>42122</c:v>
                </c:pt>
                <c:pt idx="118">
                  <c:v>42123</c:v>
                </c:pt>
                <c:pt idx="119">
                  <c:v>42124</c:v>
                </c:pt>
                <c:pt idx="120">
                  <c:v>42125</c:v>
                </c:pt>
                <c:pt idx="121">
                  <c:v>42126</c:v>
                </c:pt>
                <c:pt idx="122">
                  <c:v>42127</c:v>
                </c:pt>
                <c:pt idx="123">
                  <c:v>42128</c:v>
                </c:pt>
                <c:pt idx="124">
                  <c:v>42129</c:v>
                </c:pt>
                <c:pt idx="125">
                  <c:v>42130</c:v>
                </c:pt>
                <c:pt idx="126">
                  <c:v>42131</c:v>
                </c:pt>
                <c:pt idx="127">
                  <c:v>42132</c:v>
                </c:pt>
                <c:pt idx="128">
                  <c:v>42133</c:v>
                </c:pt>
                <c:pt idx="129">
                  <c:v>42134</c:v>
                </c:pt>
                <c:pt idx="130">
                  <c:v>42135</c:v>
                </c:pt>
                <c:pt idx="131">
                  <c:v>42136</c:v>
                </c:pt>
                <c:pt idx="132">
                  <c:v>42137</c:v>
                </c:pt>
                <c:pt idx="133">
                  <c:v>42138</c:v>
                </c:pt>
                <c:pt idx="134">
                  <c:v>42139</c:v>
                </c:pt>
                <c:pt idx="135">
                  <c:v>42140</c:v>
                </c:pt>
                <c:pt idx="136">
                  <c:v>42141</c:v>
                </c:pt>
                <c:pt idx="137">
                  <c:v>42142</c:v>
                </c:pt>
                <c:pt idx="138">
                  <c:v>42143</c:v>
                </c:pt>
                <c:pt idx="139">
                  <c:v>42144</c:v>
                </c:pt>
                <c:pt idx="140">
                  <c:v>42145</c:v>
                </c:pt>
                <c:pt idx="141">
                  <c:v>42146</c:v>
                </c:pt>
                <c:pt idx="142">
                  <c:v>42147</c:v>
                </c:pt>
                <c:pt idx="143">
                  <c:v>42148</c:v>
                </c:pt>
                <c:pt idx="144">
                  <c:v>42149</c:v>
                </c:pt>
                <c:pt idx="145">
                  <c:v>42150</c:v>
                </c:pt>
                <c:pt idx="146">
                  <c:v>42151</c:v>
                </c:pt>
                <c:pt idx="147">
                  <c:v>42152</c:v>
                </c:pt>
                <c:pt idx="148">
                  <c:v>42153</c:v>
                </c:pt>
                <c:pt idx="149">
                  <c:v>42154</c:v>
                </c:pt>
                <c:pt idx="150">
                  <c:v>42155</c:v>
                </c:pt>
                <c:pt idx="151">
                  <c:v>42156</c:v>
                </c:pt>
                <c:pt idx="152">
                  <c:v>42157</c:v>
                </c:pt>
                <c:pt idx="153">
                  <c:v>42158</c:v>
                </c:pt>
                <c:pt idx="154">
                  <c:v>42159</c:v>
                </c:pt>
                <c:pt idx="155">
                  <c:v>42160</c:v>
                </c:pt>
                <c:pt idx="156">
                  <c:v>42161</c:v>
                </c:pt>
                <c:pt idx="157">
                  <c:v>42162</c:v>
                </c:pt>
                <c:pt idx="158">
                  <c:v>42163</c:v>
                </c:pt>
                <c:pt idx="159">
                  <c:v>42164</c:v>
                </c:pt>
                <c:pt idx="160">
                  <c:v>42165</c:v>
                </c:pt>
                <c:pt idx="161">
                  <c:v>42166</c:v>
                </c:pt>
                <c:pt idx="162">
                  <c:v>42167</c:v>
                </c:pt>
                <c:pt idx="163">
                  <c:v>42168</c:v>
                </c:pt>
                <c:pt idx="164">
                  <c:v>42169</c:v>
                </c:pt>
                <c:pt idx="165">
                  <c:v>42170</c:v>
                </c:pt>
                <c:pt idx="166">
                  <c:v>42171</c:v>
                </c:pt>
                <c:pt idx="167">
                  <c:v>42172</c:v>
                </c:pt>
                <c:pt idx="168">
                  <c:v>42173</c:v>
                </c:pt>
                <c:pt idx="169">
                  <c:v>42174</c:v>
                </c:pt>
                <c:pt idx="170">
                  <c:v>42175</c:v>
                </c:pt>
                <c:pt idx="171">
                  <c:v>42176</c:v>
                </c:pt>
                <c:pt idx="172">
                  <c:v>42177</c:v>
                </c:pt>
                <c:pt idx="173">
                  <c:v>42178</c:v>
                </c:pt>
                <c:pt idx="174">
                  <c:v>42179</c:v>
                </c:pt>
                <c:pt idx="175">
                  <c:v>42180</c:v>
                </c:pt>
                <c:pt idx="176">
                  <c:v>42181</c:v>
                </c:pt>
                <c:pt idx="177">
                  <c:v>42182</c:v>
                </c:pt>
                <c:pt idx="178">
                  <c:v>42183</c:v>
                </c:pt>
                <c:pt idx="179">
                  <c:v>42184</c:v>
                </c:pt>
                <c:pt idx="180">
                  <c:v>42185</c:v>
                </c:pt>
                <c:pt idx="181">
                  <c:v>42186</c:v>
                </c:pt>
                <c:pt idx="182">
                  <c:v>42187</c:v>
                </c:pt>
                <c:pt idx="183">
                  <c:v>42188</c:v>
                </c:pt>
                <c:pt idx="184">
                  <c:v>42189</c:v>
                </c:pt>
                <c:pt idx="185">
                  <c:v>42190</c:v>
                </c:pt>
                <c:pt idx="186">
                  <c:v>42191</c:v>
                </c:pt>
                <c:pt idx="187">
                  <c:v>42192</c:v>
                </c:pt>
                <c:pt idx="188">
                  <c:v>42193</c:v>
                </c:pt>
                <c:pt idx="189">
                  <c:v>42194</c:v>
                </c:pt>
                <c:pt idx="190">
                  <c:v>42195</c:v>
                </c:pt>
                <c:pt idx="191">
                  <c:v>42196</c:v>
                </c:pt>
                <c:pt idx="192">
                  <c:v>42197</c:v>
                </c:pt>
                <c:pt idx="193">
                  <c:v>42198</c:v>
                </c:pt>
                <c:pt idx="194">
                  <c:v>42199</c:v>
                </c:pt>
                <c:pt idx="195">
                  <c:v>42200</c:v>
                </c:pt>
                <c:pt idx="196">
                  <c:v>42201</c:v>
                </c:pt>
                <c:pt idx="197">
                  <c:v>42202</c:v>
                </c:pt>
                <c:pt idx="198">
                  <c:v>42203</c:v>
                </c:pt>
                <c:pt idx="199">
                  <c:v>42204</c:v>
                </c:pt>
                <c:pt idx="200">
                  <c:v>42205</c:v>
                </c:pt>
                <c:pt idx="201">
                  <c:v>42206</c:v>
                </c:pt>
                <c:pt idx="202">
                  <c:v>42207</c:v>
                </c:pt>
                <c:pt idx="203">
                  <c:v>42208</c:v>
                </c:pt>
                <c:pt idx="204">
                  <c:v>42209</c:v>
                </c:pt>
                <c:pt idx="205">
                  <c:v>42210</c:v>
                </c:pt>
                <c:pt idx="206">
                  <c:v>42211</c:v>
                </c:pt>
                <c:pt idx="207">
                  <c:v>42212</c:v>
                </c:pt>
                <c:pt idx="208">
                  <c:v>42213</c:v>
                </c:pt>
                <c:pt idx="209">
                  <c:v>42214</c:v>
                </c:pt>
                <c:pt idx="210">
                  <c:v>42215</c:v>
                </c:pt>
                <c:pt idx="211">
                  <c:v>42216</c:v>
                </c:pt>
                <c:pt idx="212">
                  <c:v>42217</c:v>
                </c:pt>
                <c:pt idx="213">
                  <c:v>42218</c:v>
                </c:pt>
                <c:pt idx="214">
                  <c:v>42219</c:v>
                </c:pt>
                <c:pt idx="215">
                  <c:v>42220</c:v>
                </c:pt>
                <c:pt idx="216">
                  <c:v>42221</c:v>
                </c:pt>
                <c:pt idx="217">
                  <c:v>42222</c:v>
                </c:pt>
                <c:pt idx="218">
                  <c:v>42223</c:v>
                </c:pt>
                <c:pt idx="219">
                  <c:v>42224</c:v>
                </c:pt>
                <c:pt idx="220">
                  <c:v>42225</c:v>
                </c:pt>
                <c:pt idx="221">
                  <c:v>42226</c:v>
                </c:pt>
                <c:pt idx="222">
                  <c:v>42227</c:v>
                </c:pt>
                <c:pt idx="223">
                  <c:v>42228</c:v>
                </c:pt>
                <c:pt idx="224">
                  <c:v>42229</c:v>
                </c:pt>
                <c:pt idx="225">
                  <c:v>42230</c:v>
                </c:pt>
                <c:pt idx="226">
                  <c:v>42231</c:v>
                </c:pt>
                <c:pt idx="227">
                  <c:v>42232</c:v>
                </c:pt>
                <c:pt idx="228">
                  <c:v>42233</c:v>
                </c:pt>
                <c:pt idx="229">
                  <c:v>42234</c:v>
                </c:pt>
                <c:pt idx="230">
                  <c:v>42235</c:v>
                </c:pt>
                <c:pt idx="231">
                  <c:v>42236</c:v>
                </c:pt>
                <c:pt idx="232">
                  <c:v>42237</c:v>
                </c:pt>
                <c:pt idx="233">
                  <c:v>42238</c:v>
                </c:pt>
                <c:pt idx="234">
                  <c:v>42239</c:v>
                </c:pt>
                <c:pt idx="235">
                  <c:v>42240</c:v>
                </c:pt>
                <c:pt idx="236">
                  <c:v>42241</c:v>
                </c:pt>
                <c:pt idx="237">
                  <c:v>42242</c:v>
                </c:pt>
                <c:pt idx="238">
                  <c:v>42243</c:v>
                </c:pt>
                <c:pt idx="239">
                  <c:v>42244</c:v>
                </c:pt>
                <c:pt idx="240">
                  <c:v>42245</c:v>
                </c:pt>
                <c:pt idx="241">
                  <c:v>42246</c:v>
                </c:pt>
                <c:pt idx="242">
                  <c:v>42247</c:v>
                </c:pt>
                <c:pt idx="243">
                  <c:v>42248</c:v>
                </c:pt>
                <c:pt idx="244">
                  <c:v>42249</c:v>
                </c:pt>
                <c:pt idx="245">
                  <c:v>42250</c:v>
                </c:pt>
                <c:pt idx="246">
                  <c:v>42251</c:v>
                </c:pt>
                <c:pt idx="247">
                  <c:v>42252</c:v>
                </c:pt>
                <c:pt idx="248">
                  <c:v>42253</c:v>
                </c:pt>
                <c:pt idx="249">
                  <c:v>42254</c:v>
                </c:pt>
                <c:pt idx="250">
                  <c:v>42255</c:v>
                </c:pt>
                <c:pt idx="251">
                  <c:v>42256</c:v>
                </c:pt>
                <c:pt idx="252">
                  <c:v>42257</c:v>
                </c:pt>
                <c:pt idx="253">
                  <c:v>42258</c:v>
                </c:pt>
                <c:pt idx="254">
                  <c:v>42259</c:v>
                </c:pt>
                <c:pt idx="255">
                  <c:v>42260</c:v>
                </c:pt>
                <c:pt idx="256">
                  <c:v>42261</c:v>
                </c:pt>
                <c:pt idx="257">
                  <c:v>42262</c:v>
                </c:pt>
                <c:pt idx="258">
                  <c:v>42263</c:v>
                </c:pt>
                <c:pt idx="259">
                  <c:v>42264</c:v>
                </c:pt>
                <c:pt idx="260">
                  <c:v>42265</c:v>
                </c:pt>
                <c:pt idx="261">
                  <c:v>42266</c:v>
                </c:pt>
                <c:pt idx="262">
                  <c:v>42267</c:v>
                </c:pt>
                <c:pt idx="263">
                  <c:v>42268</c:v>
                </c:pt>
                <c:pt idx="264">
                  <c:v>42269</c:v>
                </c:pt>
                <c:pt idx="265">
                  <c:v>42270</c:v>
                </c:pt>
                <c:pt idx="266">
                  <c:v>42271</c:v>
                </c:pt>
                <c:pt idx="267">
                  <c:v>42272</c:v>
                </c:pt>
                <c:pt idx="268">
                  <c:v>42273</c:v>
                </c:pt>
                <c:pt idx="269">
                  <c:v>42274</c:v>
                </c:pt>
                <c:pt idx="270">
                  <c:v>42275</c:v>
                </c:pt>
                <c:pt idx="271">
                  <c:v>42276</c:v>
                </c:pt>
                <c:pt idx="272">
                  <c:v>42277</c:v>
                </c:pt>
                <c:pt idx="273">
                  <c:v>42278</c:v>
                </c:pt>
                <c:pt idx="274">
                  <c:v>42279</c:v>
                </c:pt>
                <c:pt idx="275">
                  <c:v>42280</c:v>
                </c:pt>
                <c:pt idx="276">
                  <c:v>42281</c:v>
                </c:pt>
                <c:pt idx="277">
                  <c:v>42282</c:v>
                </c:pt>
                <c:pt idx="278">
                  <c:v>42283</c:v>
                </c:pt>
                <c:pt idx="279">
                  <c:v>42284</c:v>
                </c:pt>
                <c:pt idx="280">
                  <c:v>42285</c:v>
                </c:pt>
                <c:pt idx="281">
                  <c:v>42286</c:v>
                </c:pt>
                <c:pt idx="282">
                  <c:v>42287</c:v>
                </c:pt>
                <c:pt idx="283">
                  <c:v>42288</c:v>
                </c:pt>
                <c:pt idx="284">
                  <c:v>42289</c:v>
                </c:pt>
                <c:pt idx="285">
                  <c:v>42290</c:v>
                </c:pt>
                <c:pt idx="286">
                  <c:v>42291</c:v>
                </c:pt>
                <c:pt idx="287">
                  <c:v>42292</c:v>
                </c:pt>
                <c:pt idx="288">
                  <c:v>42293</c:v>
                </c:pt>
                <c:pt idx="289">
                  <c:v>42294</c:v>
                </c:pt>
                <c:pt idx="290">
                  <c:v>42295</c:v>
                </c:pt>
                <c:pt idx="291">
                  <c:v>42296</c:v>
                </c:pt>
                <c:pt idx="292">
                  <c:v>42297</c:v>
                </c:pt>
                <c:pt idx="293">
                  <c:v>42298</c:v>
                </c:pt>
                <c:pt idx="294">
                  <c:v>42299</c:v>
                </c:pt>
                <c:pt idx="295">
                  <c:v>42300</c:v>
                </c:pt>
                <c:pt idx="296">
                  <c:v>42301</c:v>
                </c:pt>
                <c:pt idx="297">
                  <c:v>42302</c:v>
                </c:pt>
                <c:pt idx="298">
                  <c:v>42303</c:v>
                </c:pt>
                <c:pt idx="299">
                  <c:v>42304</c:v>
                </c:pt>
                <c:pt idx="300">
                  <c:v>42305</c:v>
                </c:pt>
                <c:pt idx="301">
                  <c:v>42306</c:v>
                </c:pt>
                <c:pt idx="302">
                  <c:v>42307</c:v>
                </c:pt>
                <c:pt idx="303">
                  <c:v>42308</c:v>
                </c:pt>
                <c:pt idx="304">
                  <c:v>42309</c:v>
                </c:pt>
                <c:pt idx="305">
                  <c:v>42310</c:v>
                </c:pt>
                <c:pt idx="306">
                  <c:v>42311</c:v>
                </c:pt>
                <c:pt idx="307">
                  <c:v>42312</c:v>
                </c:pt>
                <c:pt idx="308">
                  <c:v>42313</c:v>
                </c:pt>
                <c:pt idx="309">
                  <c:v>42314</c:v>
                </c:pt>
                <c:pt idx="310">
                  <c:v>42315</c:v>
                </c:pt>
                <c:pt idx="311">
                  <c:v>42316</c:v>
                </c:pt>
                <c:pt idx="312">
                  <c:v>42317</c:v>
                </c:pt>
                <c:pt idx="313">
                  <c:v>42318</c:v>
                </c:pt>
                <c:pt idx="314">
                  <c:v>42319</c:v>
                </c:pt>
                <c:pt idx="315">
                  <c:v>42320</c:v>
                </c:pt>
                <c:pt idx="316">
                  <c:v>42321</c:v>
                </c:pt>
                <c:pt idx="317">
                  <c:v>42322</c:v>
                </c:pt>
                <c:pt idx="318">
                  <c:v>42323</c:v>
                </c:pt>
                <c:pt idx="319">
                  <c:v>42324</c:v>
                </c:pt>
                <c:pt idx="320">
                  <c:v>42325</c:v>
                </c:pt>
                <c:pt idx="321">
                  <c:v>42326</c:v>
                </c:pt>
                <c:pt idx="322">
                  <c:v>42327</c:v>
                </c:pt>
                <c:pt idx="323">
                  <c:v>42328</c:v>
                </c:pt>
                <c:pt idx="324">
                  <c:v>42329</c:v>
                </c:pt>
                <c:pt idx="325">
                  <c:v>42330</c:v>
                </c:pt>
                <c:pt idx="326">
                  <c:v>42331</c:v>
                </c:pt>
                <c:pt idx="327">
                  <c:v>42332</c:v>
                </c:pt>
                <c:pt idx="328">
                  <c:v>42333</c:v>
                </c:pt>
                <c:pt idx="329">
                  <c:v>42334</c:v>
                </c:pt>
                <c:pt idx="330">
                  <c:v>42335</c:v>
                </c:pt>
                <c:pt idx="331">
                  <c:v>42336</c:v>
                </c:pt>
                <c:pt idx="332">
                  <c:v>42337</c:v>
                </c:pt>
                <c:pt idx="333">
                  <c:v>42338</c:v>
                </c:pt>
                <c:pt idx="334">
                  <c:v>42339</c:v>
                </c:pt>
                <c:pt idx="335">
                  <c:v>42340</c:v>
                </c:pt>
                <c:pt idx="336">
                  <c:v>42341</c:v>
                </c:pt>
                <c:pt idx="337">
                  <c:v>42342</c:v>
                </c:pt>
                <c:pt idx="338">
                  <c:v>42343</c:v>
                </c:pt>
                <c:pt idx="339">
                  <c:v>42344</c:v>
                </c:pt>
                <c:pt idx="340">
                  <c:v>42345</c:v>
                </c:pt>
                <c:pt idx="341">
                  <c:v>42346</c:v>
                </c:pt>
                <c:pt idx="342">
                  <c:v>42347</c:v>
                </c:pt>
                <c:pt idx="343">
                  <c:v>42348</c:v>
                </c:pt>
                <c:pt idx="344">
                  <c:v>42349</c:v>
                </c:pt>
                <c:pt idx="345">
                  <c:v>42350</c:v>
                </c:pt>
                <c:pt idx="346">
                  <c:v>42351</c:v>
                </c:pt>
                <c:pt idx="347">
                  <c:v>42352</c:v>
                </c:pt>
                <c:pt idx="348">
                  <c:v>42353</c:v>
                </c:pt>
                <c:pt idx="349">
                  <c:v>42354</c:v>
                </c:pt>
                <c:pt idx="350">
                  <c:v>42355</c:v>
                </c:pt>
                <c:pt idx="351">
                  <c:v>42356</c:v>
                </c:pt>
                <c:pt idx="352">
                  <c:v>42357</c:v>
                </c:pt>
                <c:pt idx="353">
                  <c:v>42358</c:v>
                </c:pt>
                <c:pt idx="354">
                  <c:v>42359</c:v>
                </c:pt>
                <c:pt idx="355">
                  <c:v>42360</c:v>
                </c:pt>
                <c:pt idx="356">
                  <c:v>42361</c:v>
                </c:pt>
                <c:pt idx="357">
                  <c:v>42362</c:v>
                </c:pt>
                <c:pt idx="358">
                  <c:v>42363</c:v>
                </c:pt>
                <c:pt idx="359">
                  <c:v>42364</c:v>
                </c:pt>
                <c:pt idx="360">
                  <c:v>42365</c:v>
                </c:pt>
                <c:pt idx="361">
                  <c:v>42366</c:v>
                </c:pt>
                <c:pt idx="362">
                  <c:v>42367</c:v>
                </c:pt>
                <c:pt idx="363">
                  <c:v>42368</c:v>
                </c:pt>
                <c:pt idx="364">
                  <c:v>42369</c:v>
                </c:pt>
              </c:numCache>
            </c:numRef>
          </c:cat>
          <c:val>
            <c:numRef>
              <c:f>Feuil1!$D$2:$D$366</c:f>
              <c:numCache>
                <c:formatCode>General</c:formatCode>
                <c:ptCount val="365"/>
                <c:pt idx="0">
                  <c:v>8.1</c:v>
                </c:pt>
                <c:pt idx="1">
                  <c:v>8.1</c:v>
                </c:pt>
                <c:pt idx="2">
                  <c:v>9</c:v>
                </c:pt>
                <c:pt idx="3">
                  <c:v>10.6</c:v>
                </c:pt>
                <c:pt idx="4">
                  <c:v>7.3</c:v>
                </c:pt>
                <c:pt idx="5">
                  <c:v>6.5</c:v>
                </c:pt>
                <c:pt idx="6">
                  <c:v>8.6999999999999993</c:v>
                </c:pt>
                <c:pt idx="7">
                  <c:v>9.3000000000000007</c:v>
                </c:pt>
                <c:pt idx="8">
                  <c:v>8.3000000000000007</c:v>
                </c:pt>
                <c:pt idx="9">
                  <c:v>9.4</c:v>
                </c:pt>
                <c:pt idx="10">
                  <c:v>10.4</c:v>
                </c:pt>
                <c:pt idx="11">
                  <c:v>9.1999999999999993</c:v>
                </c:pt>
                <c:pt idx="12">
                  <c:v>7.6</c:v>
                </c:pt>
                <c:pt idx="13">
                  <c:v>8.3000000000000007</c:v>
                </c:pt>
                <c:pt idx="14">
                  <c:v>9.3000000000000007</c:v>
                </c:pt>
                <c:pt idx="15">
                  <c:v>12.6</c:v>
                </c:pt>
                <c:pt idx="16">
                  <c:v>11.6</c:v>
                </c:pt>
                <c:pt idx="17">
                  <c:v>8.4</c:v>
                </c:pt>
                <c:pt idx="18">
                  <c:v>6.8</c:v>
                </c:pt>
                <c:pt idx="19">
                  <c:v>8.6</c:v>
                </c:pt>
                <c:pt idx="20">
                  <c:v>8</c:v>
                </c:pt>
                <c:pt idx="21">
                  <c:v>8.3000000000000007</c:v>
                </c:pt>
                <c:pt idx="22">
                  <c:v>12.7</c:v>
                </c:pt>
                <c:pt idx="23">
                  <c:v>10.9</c:v>
                </c:pt>
                <c:pt idx="24">
                  <c:v>10.1</c:v>
                </c:pt>
                <c:pt idx="25">
                  <c:v>8.3000000000000007</c:v>
                </c:pt>
                <c:pt idx="26">
                  <c:v>6.3</c:v>
                </c:pt>
                <c:pt idx="27">
                  <c:v>5.5</c:v>
                </c:pt>
                <c:pt idx="28">
                  <c:v>8.5</c:v>
                </c:pt>
                <c:pt idx="29">
                  <c:v>10</c:v>
                </c:pt>
                <c:pt idx="30">
                  <c:v>6.4</c:v>
                </c:pt>
                <c:pt idx="31">
                  <c:v>8.1</c:v>
                </c:pt>
                <c:pt idx="32">
                  <c:v>7.9</c:v>
                </c:pt>
                <c:pt idx="33">
                  <c:v>7</c:v>
                </c:pt>
                <c:pt idx="34">
                  <c:v>8.4</c:v>
                </c:pt>
                <c:pt idx="35">
                  <c:v>8.8000000000000007</c:v>
                </c:pt>
                <c:pt idx="36">
                  <c:v>6</c:v>
                </c:pt>
                <c:pt idx="37">
                  <c:v>7.5</c:v>
                </c:pt>
                <c:pt idx="38">
                  <c:v>6.9</c:v>
                </c:pt>
                <c:pt idx="39">
                  <c:v>5.0999999999999996</c:v>
                </c:pt>
                <c:pt idx="40">
                  <c:v>6.3</c:v>
                </c:pt>
                <c:pt idx="41">
                  <c:v>8.3000000000000007</c:v>
                </c:pt>
                <c:pt idx="42">
                  <c:v>7.9</c:v>
                </c:pt>
                <c:pt idx="43">
                  <c:v>9.4</c:v>
                </c:pt>
                <c:pt idx="44">
                  <c:v>9</c:v>
                </c:pt>
                <c:pt idx="45">
                  <c:v>9.1999999999999993</c:v>
                </c:pt>
                <c:pt idx="46">
                  <c:v>10.7</c:v>
                </c:pt>
                <c:pt idx="47">
                  <c:v>12.4</c:v>
                </c:pt>
                <c:pt idx="48">
                  <c:v>8.5</c:v>
                </c:pt>
                <c:pt idx="49">
                  <c:v>7</c:v>
                </c:pt>
                <c:pt idx="50">
                  <c:v>7.3</c:v>
                </c:pt>
                <c:pt idx="51">
                  <c:v>6.9</c:v>
                </c:pt>
                <c:pt idx="52">
                  <c:v>10.3</c:v>
                </c:pt>
                <c:pt idx="53">
                  <c:v>8.6999999999999993</c:v>
                </c:pt>
                <c:pt idx="54">
                  <c:v>8</c:v>
                </c:pt>
                <c:pt idx="55">
                  <c:v>10</c:v>
                </c:pt>
                <c:pt idx="56">
                  <c:v>11.2</c:v>
                </c:pt>
                <c:pt idx="57">
                  <c:v>8.5</c:v>
                </c:pt>
                <c:pt idx="58">
                  <c:v>8.1</c:v>
                </c:pt>
                <c:pt idx="59">
                  <c:v>8.1</c:v>
                </c:pt>
                <c:pt idx="60">
                  <c:v>15.1</c:v>
                </c:pt>
                <c:pt idx="61">
                  <c:v>12.8</c:v>
                </c:pt>
                <c:pt idx="62">
                  <c:v>10.5</c:v>
                </c:pt>
                <c:pt idx="63">
                  <c:v>9.4</c:v>
                </c:pt>
                <c:pt idx="64">
                  <c:v>10.7</c:v>
                </c:pt>
                <c:pt idx="65">
                  <c:v>10.5</c:v>
                </c:pt>
                <c:pt idx="66">
                  <c:v>9.8000000000000007</c:v>
                </c:pt>
                <c:pt idx="67">
                  <c:v>8.3000000000000007</c:v>
                </c:pt>
                <c:pt idx="68">
                  <c:v>8.5</c:v>
                </c:pt>
                <c:pt idx="69">
                  <c:v>8.9</c:v>
                </c:pt>
                <c:pt idx="70">
                  <c:v>11.8</c:v>
                </c:pt>
                <c:pt idx="71">
                  <c:v>9.6</c:v>
                </c:pt>
                <c:pt idx="72">
                  <c:v>11.3</c:v>
                </c:pt>
                <c:pt idx="73">
                  <c:v>9.6</c:v>
                </c:pt>
                <c:pt idx="74">
                  <c:v>10.7</c:v>
                </c:pt>
                <c:pt idx="75">
                  <c:v>12.2</c:v>
                </c:pt>
                <c:pt idx="76">
                  <c:v>10.9</c:v>
                </c:pt>
                <c:pt idx="77">
                  <c:v>10.5</c:v>
                </c:pt>
                <c:pt idx="78">
                  <c:v>10.9</c:v>
                </c:pt>
                <c:pt idx="79">
                  <c:v>11</c:v>
                </c:pt>
                <c:pt idx="80">
                  <c:v>11.1</c:v>
                </c:pt>
                <c:pt idx="81">
                  <c:v>12.7</c:v>
                </c:pt>
                <c:pt idx="82">
                  <c:v>11.8</c:v>
                </c:pt>
                <c:pt idx="83">
                  <c:v>11.9</c:v>
                </c:pt>
                <c:pt idx="84">
                  <c:v>12.1</c:v>
                </c:pt>
                <c:pt idx="85">
                  <c:v>12.2</c:v>
                </c:pt>
                <c:pt idx="86">
                  <c:v>11.7</c:v>
                </c:pt>
                <c:pt idx="87">
                  <c:v>11.4</c:v>
                </c:pt>
                <c:pt idx="88">
                  <c:v>12.5</c:v>
                </c:pt>
                <c:pt idx="89">
                  <c:v>13.8</c:v>
                </c:pt>
                <c:pt idx="90">
                  <c:v>14.8</c:v>
                </c:pt>
                <c:pt idx="91">
                  <c:v>12.5</c:v>
                </c:pt>
                <c:pt idx="92">
                  <c:v>12.2</c:v>
                </c:pt>
                <c:pt idx="93">
                  <c:v>11.5</c:v>
                </c:pt>
                <c:pt idx="94">
                  <c:v>9.9</c:v>
                </c:pt>
                <c:pt idx="95">
                  <c:v>9.9</c:v>
                </c:pt>
                <c:pt idx="96">
                  <c:v>9.4</c:v>
                </c:pt>
                <c:pt idx="97">
                  <c:v>9.1999999999999993</c:v>
                </c:pt>
                <c:pt idx="98">
                  <c:v>9.6999999999999993</c:v>
                </c:pt>
                <c:pt idx="99">
                  <c:v>11.8</c:v>
                </c:pt>
                <c:pt idx="100">
                  <c:v>11.7</c:v>
                </c:pt>
                <c:pt idx="101">
                  <c:v>12.5</c:v>
                </c:pt>
                <c:pt idx="102">
                  <c:v>13.8</c:v>
                </c:pt>
                <c:pt idx="103">
                  <c:v>12.9</c:v>
                </c:pt>
                <c:pt idx="104">
                  <c:v>13.1</c:v>
                </c:pt>
                <c:pt idx="105">
                  <c:v>13.6</c:v>
                </c:pt>
                <c:pt idx="106">
                  <c:v>15</c:v>
                </c:pt>
                <c:pt idx="107">
                  <c:v>14.3</c:v>
                </c:pt>
                <c:pt idx="108">
                  <c:v>13.3</c:v>
                </c:pt>
                <c:pt idx="109">
                  <c:v>12</c:v>
                </c:pt>
                <c:pt idx="110">
                  <c:v>13.9</c:v>
                </c:pt>
                <c:pt idx="111">
                  <c:v>14.4</c:v>
                </c:pt>
                <c:pt idx="112">
                  <c:v>14</c:v>
                </c:pt>
                <c:pt idx="113">
                  <c:v>14.1</c:v>
                </c:pt>
                <c:pt idx="114">
                  <c:v>14.3</c:v>
                </c:pt>
                <c:pt idx="115">
                  <c:v>15.7</c:v>
                </c:pt>
                <c:pt idx="116">
                  <c:v>16.100000000000001</c:v>
                </c:pt>
                <c:pt idx="117">
                  <c:v>14.9</c:v>
                </c:pt>
                <c:pt idx="118">
                  <c:v>14</c:v>
                </c:pt>
                <c:pt idx="119">
                  <c:v>13.8</c:v>
                </c:pt>
                <c:pt idx="120">
                  <c:v>15.3</c:v>
                </c:pt>
                <c:pt idx="121">
                  <c:v>17</c:v>
                </c:pt>
                <c:pt idx="122">
                  <c:v>16.600000000000001</c:v>
                </c:pt>
                <c:pt idx="123">
                  <c:v>17.399999999999999</c:v>
                </c:pt>
                <c:pt idx="124">
                  <c:v>17.399999999999999</c:v>
                </c:pt>
                <c:pt idx="125">
                  <c:v>17.7</c:v>
                </c:pt>
                <c:pt idx="126">
                  <c:v>17.100000000000001</c:v>
                </c:pt>
                <c:pt idx="127">
                  <c:v>15.9</c:v>
                </c:pt>
                <c:pt idx="128">
                  <c:v>16.100000000000001</c:v>
                </c:pt>
                <c:pt idx="129">
                  <c:v>18.3</c:v>
                </c:pt>
                <c:pt idx="130">
                  <c:v>17.899999999999999</c:v>
                </c:pt>
                <c:pt idx="131">
                  <c:v>18.399999999999999</c:v>
                </c:pt>
                <c:pt idx="132">
                  <c:v>17.8</c:v>
                </c:pt>
                <c:pt idx="133">
                  <c:v>18</c:v>
                </c:pt>
                <c:pt idx="134">
                  <c:v>18.5</c:v>
                </c:pt>
                <c:pt idx="135">
                  <c:v>16</c:v>
                </c:pt>
                <c:pt idx="136">
                  <c:v>22.9</c:v>
                </c:pt>
                <c:pt idx="137">
                  <c:v>19.899999999999999</c:v>
                </c:pt>
                <c:pt idx="138">
                  <c:v>18</c:v>
                </c:pt>
                <c:pt idx="139">
                  <c:v>17.8</c:v>
                </c:pt>
                <c:pt idx="140">
                  <c:v>15.5</c:v>
                </c:pt>
                <c:pt idx="141">
                  <c:v>15.5</c:v>
                </c:pt>
                <c:pt idx="142">
                  <c:v>14.9</c:v>
                </c:pt>
                <c:pt idx="143">
                  <c:v>15.5</c:v>
                </c:pt>
                <c:pt idx="144">
                  <c:v>16.5</c:v>
                </c:pt>
                <c:pt idx="145">
                  <c:v>16.100000000000001</c:v>
                </c:pt>
                <c:pt idx="146">
                  <c:v>17.3</c:v>
                </c:pt>
                <c:pt idx="147">
                  <c:v>17.2</c:v>
                </c:pt>
                <c:pt idx="148">
                  <c:v>17.2</c:v>
                </c:pt>
                <c:pt idx="149">
                  <c:v>17.3</c:v>
                </c:pt>
                <c:pt idx="150">
                  <c:v>17.5</c:v>
                </c:pt>
                <c:pt idx="151">
                  <c:v>18.5</c:v>
                </c:pt>
                <c:pt idx="152">
                  <c:v>19.2</c:v>
                </c:pt>
                <c:pt idx="153">
                  <c:v>19.5</c:v>
                </c:pt>
                <c:pt idx="154">
                  <c:v>21.1</c:v>
                </c:pt>
                <c:pt idx="155">
                  <c:v>22.8</c:v>
                </c:pt>
                <c:pt idx="156">
                  <c:v>23.2</c:v>
                </c:pt>
                <c:pt idx="157">
                  <c:v>24.3</c:v>
                </c:pt>
                <c:pt idx="158">
                  <c:v>24.3</c:v>
                </c:pt>
                <c:pt idx="159">
                  <c:v>21.9</c:v>
                </c:pt>
                <c:pt idx="160">
                  <c:v>21.8</c:v>
                </c:pt>
                <c:pt idx="161">
                  <c:v>22.5</c:v>
                </c:pt>
                <c:pt idx="162">
                  <c:v>22.5</c:v>
                </c:pt>
                <c:pt idx="163">
                  <c:v>23.9</c:v>
                </c:pt>
                <c:pt idx="164">
                  <c:v>22.6</c:v>
                </c:pt>
                <c:pt idx="165">
                  <c:v>21</c:v>
                </c:pt>
                <c:pt idx="166">
                  <c:v>20.5</c:v>
                </c:pt>
                <c:pt idx="167">
                  <c:v>20.6</c:v>
                </c:pt>
                <c:pt idx="168">
                  <c:v>21</c:v>
                </c:pt>
                <c:pt idx="169">
                  <c:v>21.1</c:v>
                </c:pt>
                <c:pt idx="170">
                  <c:v>21.3</c:v>
                </c:pt>
                <c:pt idx="171">
                  <c:v>20.6</c:v>
                </c:pt>
                <c:pt idx="172">
                  <c:v>21.1</c:v>
                </c:pt>
                <c:pt idx="173">
                  <c:v>23.2</c:v>
                </c:pt>
                <c:pt idx="174">
                  <c:v>22.8</c:v>
                </c:pt>
                <c:pt idx="175">
                  <c:v>21.2</c:v>
                </c:pt>
                <c:pt idx="176">
                  <c:v>21.7</c:v>
                </c:pt>
                <c:pt idx="177">
                  <c:v>21.6</c:v>
                </c:pt>
                <c:pt idx="178">
                  <c:v>23.1</c:v>
                </c:pt>
                <c:pt idx="179">
                  <c:v>23.8</c:v>
                </c:pt>
                <c:pt idx="180">
                  <c:v>24.1</c:v>
                </c:pt>
                <c:pt idx="181">
                  <c:v>24.2</c:v>
                </c:pt>
                <c:pt idx="182">
                  <c:v>25.4</c:v>
                </c:pt>
                <c:pt idx="183">
                  <c:v>26.4</c:v>
                </c:pt>
                <c:pt idx="184">
                  <c:v>27.3</c:v>
                </c:pt>
                <c:pt idx="185">
                  <c:v>26.5</c:v>
                </c:pt>
                <c:pt idx="186">
                  <c:v>26</c:v>
                </c:pt>
                <c:pt idx="187">
                  <c:v>26.4</c:v>
                </c:pt>
                <c:pt idx="188">
                  <c:v>26.5</c:v>
                </c:pt>
                <c:pt idx="189">
                  <c:v>26.4</c:v>
                </c:pt>
                <c:pt idx="190">
                  <c:v>25.9</c:v>
                </c:pt>
                <c:pt idx="191">
                  <c:v>25</c:v>
                </c:pt>
                <c:pt idx="192">
                  <c:v>25.3</c:v>
                </c:pt>
                <c:pt idx="193">
                  <c:v>25.4</c:v>
                </c:pt>
                <c:pt idx="194">
                  <c:v>25.5</c:v>
                </c:pt>
                <c:pt idx="195">
                  <c:v>25.8</c:v>
                </c:pt>
                <c:pt idx="196">
                  <c:v>25.9</c:v>
                </c:pt>
                <c:pt idx="197">
                  <c:v>25.7</c:v>
                </c:pt>
                <c:pt idx="198">
                  <c:v>26.7</c:v>
                </c:pt>
                <c:pt idx="199">
                  <c:v>26.4</c:v>
                </c:pt>
                <c:pt idx="200">
                  <c:v>26.9</c:v>
                </c:pt>
                <c:pt idx="201">
                  <c:v>27.3</c:v>
                </c:pt>
                <c:pt idx="202">
                  <c:v>27.7</c:v>
                </c:pt>
                <c:pt idx="203">
                  <c:v>27</c:v>
                </c:pt>
                <c:pt idx="204">
                  <c:v>26.7</c:v>
                </c:pt>
                <c:pt idx="205">
                  <c:v>25.5</c:v>
                </c:pt>
                <c:pt idx="206">
                  <c:v>25</c:v>
                </c:pt>
                <c:pt idx="207">
                  <c:v>25.8</c:v>
                </c:pt>
                <c:pt idx="208">
                  <c:v>25.7</c:v>
                </c:pt>
                <c:pt idx="209">
                  <c:v>25.5</c:v>
                </c:pt>
                <c:pt idx="210">
                  <c:v>25.8</c:v>
                </c:pt>
                <c:pt idx="211">
                  <c:v>26.2</c:v>
                </c:pt>
                <c:pt idx="212">
                  <c:v>24.5</c:v>
                </c:pt>
                <c:pt idx="213">
                  <c:v>24.2</c:v>
                </c:pt>
                <c:pt idx="214">
                  <c:v>24.6</c:v>
                </c:pt>
                <c:pt idx="215">
                  <c:v>24.7</c:v>
                </c:pt>
                <c:pt idx="216">
                  <c:v>25</c:v>
                </c:pt>
                <c:pt idx="217">
                  <c:v>26</c:v>
                </c:pt>
                <c:pt idx="218">
                  <c:v>26.6</c:v>
                </c:pt>
                <c:pt idx="219">
                  <c:v>28</c:v>
                </c:pt>
                <c:pt idx="220">
                  <c:v>26.2</c:v>
                </c:pt>
                <c:pt idx="221">
                  <c:v>22.1</c:v>
                </c:pt>
                <c:pt idx="222">
                  <c:v>23.6</c:v>
                </c:pt>
                <c:pt idx="223">
                  <c:v>26.4</c:v>
                </c:pt>
                <c:pt idx="224">
                  <c:v>26</c:v>
                </c:pt>
                <c:pt idx="225">
                  <c:v>23.8</c:v>
                </c:pt>
                <c:pt idx="226">
                  <c:v>22.4</c:v>
                </c:pt>
                <c:pt idx="227">
                  <c:v>20.7</c:v>
                </c:pt>
                <c:pt idx="228">
                  <c:v>21.2</c:v>
                </c:pt>
                <c:pt idx="229">
                  <c:v>22.2</c:v>
                </c:pt>
                <c:pt idx="230">
                  <c:v>21.5</c:v>
                </c:pt>
                <c:pt idx="231">
                  <c:v>21.6</c:v>
                </c:pt>
                <c:pt idx="232">
                  <c:v>22.9</c:v>
                </c:pt>
                <c:pt idx="233">
                  <c:v>22.2</c:v>
                </c:pt>
                <c:pt idx="234">
                  <c:v>23.1</c:v>
                </c:pt>
                <c:pt idx="235">
                  <c:v>24.2</c:v>
                </c:pt>
                <c:pt idx="236">
                  <c:v>23.1</c:v>
                </c:pt>
                <c:pt idx="237">
                  <c:v>22.1</c:v>
                </c:pt>
                <c:pt idx="238">
                  <c:v>22.2</c:v>
                </c:pt>
                <c:pt idx="239">
                  <c:v>22.4</c:v>
                </c:pt>
                <c:pt idx="240">
                  <c:v>21.5</c:v>
                </c:pt>
                <c:pt idx="241">
                  <c:v>22.4</c:v>
                </c:pt>
                <c:pt idx="242">
                  <c:v>23</c:v>
                </c:pt>
                <c:pt idx="243">
                  <c:v>22.8</c:v>
                </c:pt>
                <c:pt idx="244">
                  <c:v>23.5</c:v>
                </c:pt>
                <c:pt idx="245">
                  <c:v>22.9</c:v>
                </c:pt>
                <c:pt idx="246">
                  <c:v>23.2</c:v>
                </c:pt>
                <c:pt idx="247">
                  <c:v>23.1</c:v>
                </c:pt>
                <c:pt idx="248">
                  <c:v>19.399999999999999</c:v>
                </c:pt>
                <c:pt idx="249">
                  <c:v>21</c:v>
                </c:pt>
                <c:pt idx="250">
                  <c:v>20.9</c:v>
                </c:pt>
                <c:pt idx="251">
                  <c:v>21</c:v>
                </c:pt>
                <c:pt idx="252">
                  <c:v>19.899999999999999</c:v>
                </c:pt>
                <c:pt idx="253">
                  <c:v>19.399999999999999</c:v>
                </c:pt>
                <c:pt idx="254">
                  <c:v>21.8</c:v>
                </c:pt>
                <c:pt idx="255">
                  <c:v>23.6</c:v>
                </c:pt>
                <c:pt idx="256">
                  <c:v>24.1</c:v>
                </c:pt>
                <c:pt idx="257">
                  <c:v>22.2</c:v>
                </c:pt>
                <c:pt idx="258">
                  <c:v>22.3</c:v>
                </c:pt>
                <c:pt idx="259">
                  <c:v>22.8</c:v>
                </c:pt>
                <c:pt idx="260">
                  <c:v>21.7</c:v>
                </c:pt>
                <c:pt idx="261">
                  <c:v>20.2</c:v>
                </c:pt>
                <c:pt idx="262">
                  <c:v>20.6</c:v>
                </c:pt>
                <c:pt idx="263">
                  <c:v>19.899999999999999</c:v>
                </c:pt>
                <c:pt idx="264">
                  <c:v>18.600000000000001</c:v>
                </c:pt>
                <c:pt idx="265">
                  <c:v>18</c:v>
                </c:pt>
                <c:pt idx="266">
                  <c:v>17.7</c:v>
                </c:pt>
                <c:pt idx="267">
                  <c:v>18.899999999999999</c:v>
                </c:pt>
                <c:pt idx="268">
                  <c:v>20</c:v>
                </c:pt>
                <c:pt idx="269">
                  <c:v>20.100000000000001</c:v>
                </c:pt>
                <c:pt idx="270">
                  <c:v>19.600000000000001</c:v>
                </c:pt>
                <c:pt idx="271">
                  <c:v>18.8</c:v>
                </c:pt>
                <c:pt idx="272">
                  <c:v>17.100000000000001</c:v>
                </c:pt>
                <c:pt idx="273">
                  <c:v>15.6</c:v>
                </c:pt>
                <c:pt idx="274">
                  <c:v>18</c:v>
                </c:pt>
                <c:pt idx="275">
                  <c:v>17.399999999999999</c:v>
                </c:pt>
                <c:pt idx="276">
                  <c:v>20.3</c:v>
                </c:pt>
                <c:pt idx="277">
                  <c:v>19.899999999999999</c:v>
                </c:pt>
                <c:pt idx="278">
                  <c:v>18.8</c:v>
                </c:pt>
                <c:pt idx="279">
                  <c:v>18.399999999999999</c:v>
                </c:pt>
                <c:pt idx="280">
                  <c:v>16.5</c:v>
                </c:pt>
                <c:pt idx="281">
                  <c:v>16.600000000000001</c:v>
                </c:pt>
                <c:pt idx="282">
                  <c:v>16.5</c:v>
                </c:pt>
                <c:pt idx="283">
                  <c:v>16.5</c:v>
                </c:pt>
                <c:pt idx="284">
                  <c:v>16.7</c:v>
                </c:pt>
                <c:pt idx="285">
                  <c:v>18.600000000000001</c:v>
                </c:pt>
                <c:pt idx="286">
                  <c:v>16.5</c:v>
                </c:pt>
                <c:pt idx="287">
                  <c:v>15.5</c:v>
                </c:pt>
                <c:pt idx="288">
                  <c:v>13.9</c:v>
                </c:pt>
                <c:pt idx="289">
                  <c:v>12.8</c:v>
                </c:pt>
                <c:pt idx="290">
                  <c:v>15.8</c:v>
                </c:pt>
                <c:pt idx="291">
                  <c:v>16.600000000000001</c:v>
                </c:pt>
                <c:pt idx="292">
                  <c:v>16.899999999999999</c:v>
                </c:pt>
                <c:pt idx="293">
                  <c:v>15.4</c:v>
                </c:pt>
                <c:pt idx="294">
                  <c:v>14.2</c:v>
                </c:pt>
                <c:pt idx="295">
                  <c:v>16.399999999999999</c:v>
                </c:pt>
                <c:pt idx="296">
                  <c:v>13.8</c:v>
                </c:pt>
                <c:pt idx="297">
                  <c:v>12.8</c:v>
                </c:pt>
                <c:pt idx="298">
                  <c:v>15.7</c:v>
                </c:pt>
                <c:pt idx="299">
                  <c:v>16.899999999999999</c:v>
                </c:pt>
                <c:pt idx="300">
                  <c:v>16.8</c:v>
                </c:pt>
                <c:pt idx="301">
                  <c:v>13.8</c:v>
                </c:pt>
                <c:pt idx="302">
                  <c:v>16.600000000000001</c:v>
                </c:pt>
                <c:pt idx="303">
                  <c:v>15.8</c:v>
                </c:pt>
                <c:pt idx="304">
                  <c:v>14.2</c:v>
                </c:pt>
                <c:pt idx="305">
                  <c:v>13.1</c:v>
                </c:pt>
                <c:pt idx="306">
                  <c:v>14.9</c:v>
                </c:pt>
                <c:pt idx="307">
                  <c:v>15.4</c:v>
                </c:pt>
                <c:pt idx="308">
                  <c:v>14.9</c:v>
                </c:pt>
                <c:pt idx="309">
                  <c:v>15</c:v>
                </c:pt>
                <c:pt idx="310">
                  <c:v>13.7</c:v>
                </c:pt>
                <c:pt idx="311">
                  <c:v>13.6</c:v>
                </c:pt>
                <c:pt idx="312">
                  <c:v>15.1</c:v>
                </c:pt>
                <c:pt idx="313">
                  <c:v>13.5</c:v>
                </c:pt>
                <c:pt idx="314">
                  <c:v>16.2</c:v>
                </c:pt>
                <c:pt idx="315">
                  <c:v>16.7</c:v>
                </c:pt>
                <c:pt idx="316">
                  <c:v>16.399999999999999</c:v>
                </c:pt>
                <c:pt idx="317">
                  <c:v>14.1</c:v>
                </c:pt>
                <c:pt idx="318">
                  <c:v>11.9</c:v>
                </c:pt>
                <c:pt idx="319">
                  <c:v>14.6</c:v>
                </c:pt>
                <c:pt idx="320">
                  <c:v>15.6</c:v>
                </c:pt>
                <c:pt idx="321">
                  <c:v>14.5</c:v>
                </c:pt>
                <c:pt idx="322">
                  <c:v>13.7</c:v>
                </c:pt>
                <c:pt idx="323">
                  <c:v>14.2</c:v>
                </c:pt>
                <c:pt idx="324">
                  <c:v>16.5</c:v>
                </c:pt>
                <c:pt idx="325">
                  <c:v>8.4</c:v>
                </c:pt>
                <c:pt idx="326">
                  <c:v>7.5</c:v>
                </c:pt>
                <c:pt idx="327">
                  <c:v>9.1</c:v>
                </c:pt>
                <c:pt idx="328">
                  <c:v>8.1</c:v>
                </c:pt>
                <c:pt idx="329">
                  <c:v>10.4</c:v>
                </c:pt>
                <c:pt idx="330">
                  <c:v>10.3</c:v>
                </c:pt>
                <c:pt idx="331">
                  <c:v>7.7</c:v>
                </c:pt>
                <c:pt idx="332">
                  <c:v>8.8000000000000007</c:v>
                </c:pt>
                <c:pt idx="333">
                  <c:v>9.1</c:v>
                </c:pt>
                <c:pt idx="334">
                  <c:v>9</c:v>
                </c:pt>
                <c:pt idx="335">
                  <c:v>10.7</c:v>
                </c:pt>
                <c:pt idx="336">
                  <c:v>10.9</c:v>
                </c:pt>
                <c:pt idx="337">
                  <c:v>11.4</c:v>
                </c:pt>
                <c:pt idx="338">
                  <c:v>11.6</c:v>
                </c:pt>
                <c:pt idx="339">
                  <c:v>12.4</c:v>
                </c:pt>
                <c:pt idx="340">
                  <c:v>11.3</c:v>
                </c:pt>
                <c:pt idx="341">
                  <c:v>11.3</c:v>
                </c:pt>
                <c:pt idx="342">
                  <c:v>10.199999999999999</c:v>
                </c:pt>
                <c:pt idx="343">
                  <c:v>11.6</c:v>
                </c:pt>
                <c:pt idx="344">
                  <c:v>8</c:v>
                </c:pt>
                <c:pt idx="345">
                  <c:v>7.8</c:v>
                </c:pt>
                <c:pt idx="346">
                  <c:v>8.5</c:v>
                </c:pt>
                <c:pt idx="347">
                  <c:v>9.4</c:v>
                </c:pt>
                <c:pt idx="348">
                  <c:v>8.1999999999999993</c:v>
                </c:pt>
                <c:pt idx="349">
                  <c:v>8.8000000000000007</c:v>
                </c:pt>
                <c:pt idx="350">
                  <c:v>9.1999999999999993</c:v>
                </c:pt>
                <c:pt idx="351">
                  <c:v>10.6</c:v>
                </c:pt>
                <c:pt idx="352">
                  <c:v>10.9</c:v>
                </c:pt>
                <c:pt idx="353">
                  <c:v>9.9</c:v>
                </c:pt>
                <c:pt idx="354">
                  <c:v>9.5</c:v>
                </c:pt>
                <c:pt idx="355">
                  <c:v>9.3000000000000007</c:v>
                </c:pt>
                <c:pt idx="356">
                  <c:v>8.6</c:v>
                </c:pt>
                <c:pt idx="357">
                  <c:v>8.9</c:v>
                </c:pt>
                <c:pt idx="358">
                  <c:v>9.3000000000000007</c:v>
                </c:pt>
                <c:pt idx="359">
                  <c:v>10.1</c:v>
                </c:pt>
                <c:pt idx="360">
                  <c:v>9.6</c:v>
                </c:pt>
                <c:pt idx="361">
                  <c:v>10.9</c:v>
                </c:pt>
                <c:pt idx="362">
                  <c:v>10</c:v>
                </c:pt>
                <c:pt idx="363">
                  <c:v>11.4</c:v>
                </c:pt>
                <c:pt idx="364">
                  <c:v>10</c:v>
                </c:pt>
              </c:numCache>
            </c:numRef>
          </c:val>
          <c:smooth val="0"/>
        </c:ser>
        <c:dLbls>
          <c:showLegendKey val="0"/>
          <c:showVal val="0"/>
          <c:showCatName val="0"/>
          <c:showSerName val="0"/>
          <c:showPercent val="0"/>
          <c:showBubbleSize val="0"/>
        </c:dLbls>
        <c:marker val="1"/>
        <c:smooth val="0"/>
        <c:axId val="81247232"/>
        <c:axId val="81556224"/>
      </c:lineChart>
      <c:dateAx>
        <c:axId val="81247232"/>
        <c:scaling>
          <c:orientation val="minMax"/>
        </c:scaling>
        <c:delete val="0"/>
        <c:axPos val="b"/>
        <c:numFmt formatCode="d/m;@" sourceLinked="1"/>
        <c:majorTickMark val="none"/>
        <c:minorTickMark val="none"/>
        <c:tickLblPos val="nextTo"/>
        <c:crossAx val="81556224"/>
        <c:crosses val="autoZero"/>
        <c:auto val="1"/>
        <c:lblOffset val="100"/>
        <c:baseTimeUnit val="days"/>
      </c:dateAx>
      <c:valAx>
        <c:axId val="81556224"/>
        <c:scaling>
          <c:orientation val="minMax"/>
        </c:scaling>
        <c:delete val="0"/>
        <c:axPos val="l"/>
        <c:majorGridlines/>
        <c:title>
          <c:tx>
            <c:rich>
              <a:bodyPr rot="0" vert="horz"/>
              <a:lstStyle/>
              <a:p>
                <a:pPr>
                  <a:defRPr/>
                </a:pPr>
                <a:r>
                  <a:rPr lang="fr-FR"/>
                  <a:t>°C</a:t>
                </a:r>
              </a:p>
            </c:rich>
          </c:tx>
          <c:layout>
            <c:manualLayout>
              <c:xMode val="edge"/>
              <c:yMode val="edge"/>
              <c:x val="1.5426997245179064E-2"/>
              <c:y val="7.2971560907827707E-2"/>
            </c:manualLayout>
          </c:layout>
          <c:overlay val="0"/>
        </c:title>
        <c:numFmt formatCode="General" sourceLinked="1"/>
        <c:majorTickMark val="out"/>
        <c:minorTickMark val="none"/>
        <c:tickLblPos val="nextTo"/>
        <c:crossAx val="81247232"/>
        <c:crosses val="autoZero"/>
        <c:crossBetween val="between"/>
      </c:valAx>
      <c:valAx>
        <c:axId val="81558144"/>
        <c:scaling>
          <c:orientation val="minMax"/>
        </c:scaling>
        <c:delete val="0"/>
        <c:axPos val="r"/>
        <c:title>
          <c:tx>
            <c:rich>
              <a:bodyPr rot="0" vert="horz"/>
              <a:lstStyle/>
              <a:p>
                <a:pPr>
                  <a:defRPr/>
                </a:pPr>
                <a:r>
                  <a:rPr lang="fr-FR"/>
                  <a:t>mm</a:t>
                </a:r>
              </a:p>
            </c:rich>
          </c:tx>
          <c:layout>
            <c:manualLayout>
              <c:xMode val="edge"/>
              <c:yMode val="edge"/>
              <c:x val="0.93990082644628103"/>
              <c:y val="7.7677443260768891E-2"/>
            </c:manualLayout>
          </c:layout>
          <c:overlay val="0"/>
        </c:title>
        <c:numFmt formatCode="General" sourceLinked="1"/>
        <c:majorTickMark val="out"/>
        <c:minorTickMark val="none"/>
        <c:tickLblPos val="nextTo"/>
        <c:crossAx val="81560320"/>
        <c:crosses val="max"/>
        <c:crossBetween val="between"/>
      </c:valAx>
      <c:dateAx>
        <c:axId val="81560320"/>
        <c:scaling>
          <c:orientation val="minMax"/>
        </c:scaling>
        <c:delete val="1"/>
        <c:axPos val="b"/>
        <c:numFmt formatCode="d/m;@" sourceLinked="1"/>
        <c:majorTickMark val="out"/>
        <c:minorTickMark val="none"/>
        <c:tickLblPos val="nextTo"/>
        <c:crossAx val="81558144"/>
        <c:crosses val="autoZero"/>
        <c:auto val="1"/>
        <c:lblOffset val="100"/>
        <c:baseTimeUnit val="days"/>
      </c:dateAx>
      <c:spPr>
        <a:solidFill>
          <a:schemeClr val="accent1">
            <a:lumMod val="20000"/>
            <a:lumOff val="80000"/>
          </a:schemeClr>
        </a:solidFill>
      </c:spPr>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'kiwi 2004'!$G$3</c:f>
              <c:strCache>
                <c:ptCount val="1"/>
                <c:pt idx="0">
                  <c:v>E</c:v>
                </c:pt>
              </c:strCache>
            </c:strRef>
          </c:tx>
          <c:spPr>
            <a:solidFill>
              <a:srgbClr val="7030A0"/>
            </a:solidFill>
            <a:ln>
              <a:solidFill>
                <a:sysClr val="windowText" lastClr="000000"/>
              </a:solidFill>
            </a:ln>
            <a:scene3d>
              <a:camera prst="orthographicFront"/>
              <a:lightRig rig="threePt" dir="t"/>
            </a:scene3d>
            <a:sp3d>
              <a:bevelT w="190500" h="38100"/>
            </a:sp3d>
          </c:spPr>
          <c:invertIfNegative val="0"/>
          <c:cat>
            <c:strRef>
              <c:f>'kiwi 2004'!$A$4:$A$6</c:f>
              <c:strCache>
                <c:ptCount val="3"/>
                <c:pt idx="0">
                  <c:v>LB</c:v>
                </c:pt>
                <c:pt idx="1">
                  <c:v>50%</c:v>
                </c:pt>
                <c:pt idx="2">
                  <c:v>CH</c:v>
                </c:pt>
              </c:strCache>
            </c:strRef>
          </c:cat>
          <c:val>
            <c:numRef>
              <c:f>'kiwi 2004'!$G$4:$G$6</c:f>
              <c:numCache>
                <c:formatCode>General</c:formatCode>
                <c:ptCount val="3"/>
                <c:pt idx="0">
                  <c:v>8</c:v>
                </c:pt>
                <c:pt idx="1">
                  <c:v>7.2</c:v>
                </c:pt>
                <c:pt idx="2">
                  <c:v>7.9</c:v>
                </c:pt>
              </c:numCache>
            </c:numRef>
          </c:val>
        </c:ser>
        <c:ser>
          <c:idx val="1"/>
          <c:order val="1"/>
          <c:tx>
            <c:strRef>
              <c:f>'kiwi 2004'!$J$3</c:f>
              <c:strCache>
                <c:ptCount val="1"/>
                <c:pt idx="0">
                  <c:v>x</c:v>
                </c:pt>
              </c:strCache>
            </c:strRef>
          </c:tx>
          <c:invertIfNegative val="0"/>
          <c:cat>
            <c:strRef>
              <c:f>'kiwi 2004'!$A$4:$A$6</c:f>
              <c:strCache>
                <c:ptCount val="3"/>
                <c:pt idx="0">
                  <c:v>LB</c:v>
                </c:pt>
                <c:pt idx="1">
                  <c:v>50%</c:v>
                </c:pt>
                <c:pt idx="2">
                  <c:v>CH</c:v>
                </c:pt>
              </c:strCache>
            </c:strRef>
          </c:cat>
          <c:val>
            <c:numRef>
              <c:f>'kiwi 2004'!$J$4:$J$6</c:f>
              <c:numCache>
                <c:formatCode>General</c:formatCode>
                <c:ptCount val="3"/>
                <c:pt idx="0">
                  <c:v>0</c:v>
                </c:pt>
                <c:pt idx="1">
                  <c:v>0</c:v>
                </c:pt>
                <c:pt idx="2">
                  <c:v>0</c:v>
                </c:pt>
              </c:numCache>
            </c:numRef>
          </c:val>
        </c:ser>
        <c:dLbls>
          <c:showLegendKey val="0"/>
          <c:showVal val="0"/>
          <c:showCatName val="0"/>
          <c:showSerName val="0"/>
          <c:showPercent val="0"/>
          <c:showBubbleSize val="0"/>
        </c:dLbls>
        <c:gapWidth val="74"/>
        <c:overlap val="-24"/>
        <c:axId val="81637760"/>
        <c:axId val="81639296"/>
      </c:barChart>
      <c:barChart>
        <c:barDir val="col"/>
        <c:grouping val="clustered"/>
        <c:varyColors val="0"/>
        <c:ser>
          <c:idx val="2"/>
          <c:order val="2"/>
          <c:tx>
            <c:strRef>
              <c:f>'kiwi 2004'!$J$3</c:f>
              <c:strCache>
                <c:ptCount val="1"/>
                <c:pt idx="0">
                  <c:v>x</c:v>
                </c:pt>
              </c:strCache>
            </c:strRef>
          </c:tx>
          <c:invertIfNegative val="0"/>
          <c:cat>
            <c:strRef>
              <c:f>'kiwi 2004'!$A$4:$A$6</c:f>
              <c:strCache>
                <c:ptCount val="3"/>
                <c:pt idx="0">
                  <c:v>LB</c:v>
                </c:pt>
                <c:pt idx="1">
                  <c:v>50%</c:v>
                </c:pt>
                <c:pt idx="2">
                  <c:v>CH</c:v>
                </c:pt>
              </c:strCache>
            </c:strRef>
          </c:cat>
          <c:val>
            <c:numRef>
              <c:f>'kiwi 2004'!$J$4:$J$6</c:f>
              <c:numCache>
                <c:formatCode>General</c:formatCode>
                <c:ptCount val="3"/>
                <c:pt idx="0">
                  <c:v>0</c:v>
                </c:pt>
                <c:pt idx="1">
                  <c:v>0</c:v>
                </c:pt>
                <c:pt idx="2">
                  <c:v>0</c:v>
                </c:pt>
              </c:numCache>
            </c:numRef>
          </c:val>
        </c:ser>
        <c:ser>
          <c:idx val="3"/>
          <c:order val="3"/>
          <c:tx>
            <c:strRef>
              <c:f>'kiwi 2004'!$H$3</c:f>
              <c:strCache>
                <c:ptCount val="1"/>
                <c:pt idx="0">
                  <c:v>A</c:v>
                </c:pt>
              </c:strCache>
            </c:strRef>
          </c:tx>
          <c:spPr>
            <a:solidFill>
              <a:srgbClr val="92D050"/>
            </a:solidFill>
            <a:ln>
              <a:solidFill>
                <a:sysClr val="windowText" lastClr="000000"/>
              </a:solidFill>
            </a:ln>
            <a:scene3d>
              <a:camera prst="orthographicFront"/>
              <a:lightRig rig="threePt" dir="t"/>
            </a:scene3d>
            <a:sp3d>
              <a:bevelT w="190500" h="38100"/>
            </a:sp3d>
          </c:spPr>
          <c:invertIfNegative val="0"/>
          <c:cat>
            <c:strRef>
              <c:f>'kiwi 2004'!$A$4:$A$6</c:f>
              <c:strCache>
                <c:ptCount val="3"/>
                <c:pt idx="0">
                  <c:v>LB</c:v>
                </c:pt>
                <c:pt idx="1">
                  <c:v>50%</c:v>
                </c:pt>
                <c:pt idx="2">
                  <c:v>CH</c:v>
                </c:pt>
              </c:strCache>
            </c:strRef>
          </c:cat>
          <c:val>
            <c:numRef>
              <c:f>'kiwi 2004'!$H$4:$H$6</c:f>
              <c:numCache>
                <c:formatCode>0.00</c:formatCode>
                <c:ptCount val="3"/>
                <c:pt idx="0">
                  <c:v>1.8023624267026581</c:v>
                </c:pt>
                <c:pt idx="1">
                  <c:v>1.7612775686046647</c:v>
                </c:pt>
                <c:pt idx="2">
                  <c:v>1.8335839621674359</c:v>
                </c:pt>
              </c:numCache>
            </c:numRef>
          </c:val>
        </c:ser>
        <c:dLbls>
          <c:showLegendKey val="0"/>
          <c:showVal val="0"/>
          <c:showCatName val="0"/>
          <c:showSerName val="0"/>
          <c:showPercent val="0"/>
          <c:showBubbleSize val="0"/>
        </c:dLbls>
        <c:gapWidth val="76"/>
        <c:overlap val="-26"/>
        <c:axId val="81651584"/>
        <c:axId val="81649664"/>
      </c:barChart>
      <c:catAx>
        <c:axId val="81637760"/>
        <c:scaling>
          <c:orientation val="minMax"/>
        </c:scaling>
        <c:delete val="0"/>
        <c:axPos val="b"/>
        <c:numFmt formatCode="General" sourceLinked="0"/>
        <c:majorTickMark val="out"/>
        <c:minorTickMark val="none"/>
        <c:tickLblPos val="nextTo"/>
        <c:crossAx val="81639296"/>
        <c:crosses val="autoZero"/>
        <c:auto val="1"/>
        <c:lblAlgn val="ctr"/>
        <c:lblOffset val="100"/>
        <c:noMultiLvlLbl val="0"/>
      </c:catAx>
      <c:valAx>
        <c:axId val="81639296"/>
        <c:scaling>
          <c:orientation val="minMax"/>
        </c:scaling>
        <c:delete val="0"/>
        <c:axPos val="l"/>
        <c:majorGridlines>
          <c:spPr>
            <a:ln>
              <a:noFill/>
            </a:ln>
          </c:spPr>
        </c:majorGridlines>
        <c:title>
          <c:tx>
            <c:rich>
              <a:bodyPr rot="-5400000" vert="horz"/>
              <a:lstStyle/>
              <a:p>
                <a:pPr>
                  <a:defRPr/>
                </a:pPr>
                <a:r>
                  <a:rPr lang="fr-FR"/>
                  <a:t>°Brix</a:t>
                </a:r>
              </a:p>
            </c:rich>
          </c:tx>
          <c:overlay val="0"/>
        </c:title>
        <c:numFmt formatCode="General" sourceLinked="1"/>
        <c:majorTickMark val="out"/>
        <c:minorTickMark val="none"/>
        <c:tickLblPos val="nextTo"/>
        <c:crossAx val="81637760"/>
        <c:crosses val="autoZero"/>
        <c:crossBetween val="between"/>
      </c:valAx>
      <c:valAx>
        <c:axId val="81649664"/>
        <c:scaling>
          <c:orientation val="minMax"/>
        </c:scaling>
        <c:delete val="0"/>
        <c:axPos val="r"/>
        <c:title>
          <c:tx>
            <c:rich>
              <a:bodyPr rot="-5400000" vert="horz"/>
              <a:lstStyle/>
              <a:p>
                <a:pPr>
                  <a:defRPr/>
                </a:pPr>
                <a:r>
                  <a:rPr lang="fr-FR"/>
                  <a:t>g d'acide citrique/100g de jus</a:t>
                </a:r>
              </a:p>
            </c:rich>
          </c:tx>
          <c:overlay val="0"/>
        </c:title>
        <c:numFmt formatCode="General" sourceLinked="1"/>
        <c:majorTickMark val="out"/>
        <c:minorTickMark val="none"/>
        <c:tickLblPos val="nextTo"/>
        <c:crossAx val="81651584"/>
        <c:crosses val="max"/>
        <c:crossBetween val="between"/>
      </c:valAx>
      <c:catAx>
        <c:axId val="81651584"/>
        <c:scaling>
          <c:orientation val="minMax"/>
        </c:scaling>
        <c:delete val="1"/>
        <c:axPos val="b"/>
        <c:numFmt formatCode="General" sourceLinked="1"/>
        <c:majorTickMark val="out"/>
        <c:minorTickMark val="none"/>
        <c:tickLblPos val="nextTo"/>
        <c:crossAx val="81649664"/>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'kiwi 2011'!$G$3</c:f>
              <c:strCache>
                <c:ptCount val="1"/>
                <c:pt idx="0">
                  <c:v>E</c:v>
                </c:pt>
              </c:strCache>
            </c:strRef>
          </c:tx>
          <c:spPr>
            <a:solidFill>
              <a:srgbClr val="7030A0"/>
            </a:solidFill>
            <a:ln>
              <a:solidFill>
                <a:sysClr val="windowText" lastClr="000000"/>
              </a:solidFill>
            </a:ln>
            <a:scene3d>
              <a:camera prst="orthographicFront"/>
              <a:lightRig rig="threePt" dir="t"/>
            </a:scene3d>
            <a:sp3d>
              <a:bevelT w="190500" h="38100"/>
            </a:sp3d>
          </c:spPr>
          <c:invertIfNegative val="0"/>
          <c:cat>
            <c:strRef>
              <c:f>'kiwi 2011'!$A$4:$A$6</c:f>
              <c:strCache>
                <c:ptCount val="3"/>
                <c:pt idx="0">
                  <c:v>LB</c:v>
                </c:pt>
                <c:pt idx="1">
                  <c:v>50%</c:v>
                </c:pt>
                <c:pt idx="2">
                  <c:v>CH</c:v>
                </c:pt>
              </c:strCache>
            </c:strRef>
          </c:cat>
          <c:val>
            <c:numRef>
              <c:f>'kiwi 2011'!$G$4:$G$6</c:f>
              <c:numCache>
                <c:formatCode>General</c:formatCode>
                <c:ptCount val="3"/>
                <c:pt idx="0">
                  <c:v>7.8</c:v>
                </c:pt>
                <c:pt idx="1">
                  <c:v>7.6</c:v>
                </c:pt>
                <c:pt idx="2">
                  <c:v>9.6999999999999993</c:v>
                </c:pt>
              </c:numCache>
            </c:numRef>
          </c:val>
        </c:ser>
        <c:ser>
          <c:idx val="1"/>
          <c:order val="1"/>
          <c:tx>
            <c:strRef>
              <c:f>'kiwi 2011'!$J$3</c:f>
              <c:strCache>
                <c:ptCount val="1"/>
                <c:pt idx="0">
                  <c:v>x</c:v>
                </c:pt>
              </c:strCache>
            </c:strRef>
          </c:tx>
          <c:invertIfNegative val="0"/>
          <c:cat>
            <c:strRef>
              <c:f>'kiwi 2011'!$A$4:$A$6</c:f>
              <c:strCache>
                <c:ptCount val="3"/>
                <c:pt idx="0">
                  <c:v>LB</c:v>
                </c:pt>
                <c:pt idx="1">
                  <c:v>50%</c:v>
                </c:pt>
                <c:pt idx="2">
                  <c:v>CH</c:v>
                </c:pt>
              </c:strCache>
            </c:strRef>
          </c:cat>
          <c:val>
            <c:numRef>
              <c:f>'kiwi 2011'!$J$4:$J$6</c:f>
              <c:numCache>
                <c:formatCode>General</c:formatCode>
                <c:ptCount val="3"/>
                <c:pt idx="0">
                  <c:v>0</c:v>
                </c:pt>
                <c:pt idx="1">
                  <c:v>0</c:v>
                </c:pt>
                <c:pt idx="2">
                  <c:v>0</c:v>
                </c:pt>
              </c:numCache>
            </c:numRef>
          </c:val>
        </c:ser>
        <c:dLbls>
          <c:showLegendKey val="0"/>
          <c:showVal val="0"/>
          <c:showCatName val="0"/>
          <c:showSerName val="0"/>
          <c:showPercent val="0"/>
          <c:showBubbleSize val="0"/>
        </c:dLbls>
        <c:gapWidth val="74"/>
        <c:overlap val="-24"/>
        <c:axId val="81631104"/>
        <c:axId val="81632640"/>
      </c:barChart>
      <c:barChart>
        <c:barDir val="col"/>
        <c:grouping val="clustered"/>
        <c:varyColors val="0"/>
        <c:ser>
          <c:idx val="2"/>
          <c:order val="2"/>
          <c:tx>
            <c:strRef>
              <c:f>'kiwi 2011'!$J$3</c:f>
              <c:strCache>
                <c:ptCount val="1"/>
                <c:pt idx="0">
                  <c:v>x</c:v>
                </c:pt>
              </c:strCache>
            </c:strRef>
          </c:tx>
          <c:invertIfNegative val="0"/>
          <c:cat>
            <c:strRef>
              <c:f>'kiwi 2011'!$A$4:$A$6</c:f>
              <c:strCache>
                <c:ptCount val="3"/>
                <c:pt idx="0">
                  <c:v>LB</c:v>
                </c:pt>
                <c:pt idx="1">
                  <c:v>50%</c:v>
                </c:pt>
                <c:pt idx="2">
                  <c:v>CH</c:v>
                </c:pt>
              </c:strCache>
            </c:strRef>
          </c:cat>
          <c:val>
            <c:numRef>
              <c:f>'kiwi 2011'!$J$4:$J$6</c:f>
              <c:numCache>
                <c:formatCode>General</c:formatCode>
                <c:ptCount val="3"/>
                <c:pt idx="0">
                  <c:v>0</c:v>
                </c:pt>
                <c:pt idx="1">
                  <c:v>0</c:v>
                </c:pt>
                <c:pt idx="2">
                  <c:v>0</c:v>
                </c:pt>
              </c:numCache>
            </c:numRef>
          </c:val>
        </c:ser>
        <c:ser>
          <c:idx val="3"/>
          <c:order val="3"/>
          <c:tx>
            <c:strRef>
              <c:f>'kiwi 2011'!$H$3</c:f>
              <c:strCache>
                <c:ptCount val="1"/>
                <c:pt idx="0">
                  <c:v>A</c:v>
                </c:pt>
              </c:strCache>
            </c:strRef>
          </c:tx>
          <c:spPr>
            <a:solidFill>
              <a:srgbClr val="92D050"/>
            </a:solidFill>
            <a:ln>
              <a:solidFill>
                <a:sysClr val="windowText" lastClr="000000"/>
              </a:solidFill>
            </a:ln>
            <a:scene3d>
              <a:camera prst="orthographicFront"/>
              <a:lightRig rig="threePt" dir="t"/>
            </a:scene3d>
            <a:sp3d>
              <a:bevelT w="190500" h="38100"/>
            </a:sp3d>
          </c:spPr>
          <c:invertIfNegative val="0"/>
          <c:cat>
            <c:strRef>
              <c:f>'kiwi 2011'!$A$4:$A$6</c:f>
              <c:strCache>
                <c:ptCount val="3"/>
                <c:pt idx="0">
                  <c:v>LB</c:v>
                </c:pt>
                <c:pt idx="1">
                  <c:v>50%</c:v>
                </c:pt>
                <c:pt idx="2">
                  <c:v>CH</c:v>
                </c:pt>
              </c:strCache>
            </c:strRef>
          </c:cat>
          <c:val>
            <c:numRef>
              <c:f>'kiwi 2011'!$H$4:$H$6</c:f>
              <c:numCache>
                <c:formatCode>0.00</c:formatCode>
                <c:ptCount val="3"/>
                <c:pt idx="0">
                  <c:v>1.3269688705371809</c:v>
                </c:pt>
                <c:pt idx="1">
                  <c:v>1.894770952449929</c:v>
                </c:pt>
                <c:pt idx="2">
                  <c:v>1.8201424467045111</c:v>
                </c:pt>
              </c:numCache>
            </c:numRef>
          </c:val>
        </c:ser>
        <c:dLbls>
          <c:showLegendKey val="0"/>
          <c:showVal val="0"/>
          <c:showCatName val="0"/>
          <c:showSerName val="0"/>
          <c:showPercent val="0"/>
          <c:showBubbleSize val="0"/>
        </c:dLbls>
        <c:gapWidth val="74"/>
        <c:overlap val="-24"/>
        <c:axId val="81722752"/>
        <c:axId val="81720832"/>
      </c:barChart>
      <c:catAx>
        <c:axId val="81631104"/>
        <c:scaling>
          <c:orientation val="minMax"/>
        </c:scaling>
        <c:delete val="0"/>
        <c:axPos val="b"/>
        <c:numFmt formatCode="General" sourceLinked="0"/>
        <c:majorTickMark val="out"/>
        <c:minorTickMark val="none"/>
        <c:tickLblPos val="nextTo"/>
        <c:crossAx val="81632640"/>
        <c:crosses val="autoZero"/>
        <c:auto val="1"/>
        <c:lblAlgn val="ctr"/>
        <c:lblOffset val="100"/>
        <c:noMultiLvlLbl val="0"/>
      </c:catAx>
      <c:valAx>
        <c:axId val="81632640"/>
        <c:scaling>
          <c:orientation val="minMax"/>
          <c:max val="10"/>
        </c:scaling>
        <c:delete val="0"/>
        <c:axPos val="l"/>
        <c:majorGridlines>
          <c:spPr>
            <a:ln>
              <a:noFill/>
            </a:ln>
          </c:spPr>
        </c:majorGridlines>
        <c:title>
          <c:tx>
            <c:rich>
              <a:bodyPr rot="-5400000" vert="horz"/>
              <a:lstStyle/>
              <a:p>
                <a:pPr>
                  <a:defRPr/>
                </a:pPr>
                <a:r>
                  <a:rPr lang="en-US"/>
                  <a:t>°Brix</a:t>
                </a:r>
              </a:p>
            </c:rich>
          </c:tx>
          <c:overlay val="0"/>
        </c:title>
        <c:numFmt formatCode="General" sourceLinked="1"/>
        <c:majorTickMark val="out"/>
        <c:minorTickMark val="none"/>
        <c:tickLblPos val="nextTo"/>
        <c:crossAx val="81631104"/>
        <c:crosses val="autoZero"/>
        <c:crossBetween val="between"/>
      </c:valAx>
      <c:valAx>
        <c:axId val="81720832"/>
        <c:scaling>
          <c:orientation val="minMax"/>
        </c:scaling>
        <c:delete val="0"/>
        <c:axPos val="r"/>
        <c:title>
          <c:tx>
            <c:rich>
              <a:bodyPr rot="-5400000" vert="horz"/>
              <a:lstStyle/>
              <a:p>
                <a:pPr>
                  <a:defRPr/>
                </a:pPr>
                <a:r>
                  <a:rPr lang="en-US"/>
                  <a:t>g d'acide citrique/100g de jus</a:t>
                </a:r>
              </a:p>
            </c:rich>
          </c:tx>
          <c:overlay val="0"/>
        </c:title>
        <c:numFmt formatCode="General" sourceLinked="1"/>
        <c:majorTickMark val="out"/>
        <c:minorTickMark val="none"/>
        <c:tickLblPos val="nextTo"/>
        <c:crossAx val="81722752"/>
        <c:crosses val="max"/>
        <c:crossBetween val="between"/>
      </c:valAx>
      <c:catAx>
        <c:axId val="81722752"/>
        <c:scaling>
          <c:orientation val="minMax"/>
        </c:scaling>
        <c:delete val="1"/>
        <c:axPos val="b"/>
        <c:numFmt formatCode="General" sourceLinked="1"/>
        <c:majorTickMark val="out"/>
        <c:minorTickMark val="none"/>
        <c:tickLblPos val="nextTo"/>
        <c:crossAx val="81720832"/>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'Kiwi 2004'!$B$19</c:f>
              <c:strCache>
                <c:ptCount val="1"/>
                <c:pt idx="0">
                  <c:v>rendement/ha</c:v>
                </c:pt>
              </c:strCache>
            </c:strRef>
          </c:tx>
          <c:spPr>
            <a:solidFill>
              <a:schemeClr val="tx2"/>
            </a:solidFill>
            <a:ln>
              <a:solidFill>
                <a:sysClr val="windowText" lastClr="000000"/>
              </a:solidFill>
            </a:ln>
            <a:scene3d>
              <a:camera prst="orthographicFront"/>
              <a:lightRig rig="threePt" dir="t"/>
            </a:scene3d>
            <a:sp3d>
              <a:bevelT w="190500" h="38100"/>
            </a:sp3d>
          </c:spPr>
          <c:invertIfNegative val="0"/>
          <c:cat>
            <c:strRef>
              <c:f>('Kiwi 2004'!$A$16;'Kiwi 2004'!$E$16;'Kiwi 2004'!$I$16)</c:f>
              <c:strCache>
                <c:ptCount val="3"/>
                <c:pt idx="0">
                  <c:v>LB</c:v>
                </c:pt>
                <c:pt idx="1">
                  <c:v>50%</c:v>
                </c:pt>
                <c:pt idx="2">
                  <c:v>CH</c:v>
                </c:pt>
              </c:strCache>
            </c:strRef>
          </c:cat>
          <c:val>
            <c:numRef>
              <c:f>('Kiwi 2004'!$C$19;'Kiwi 2004'!$G$19;'Kiwi 2004'!$K$19)</c:f>
              <c:numCache>
                <c:formatCode>General</c:formatCode>
                <c:ptCount val="3"/>
                <c:pt idx="0">
                  <c:v>21.6975695</c:v>
                </c:pt>
                <c:pt idx="1">
                  <c:v>23.344070933333331</c:v>
                </c:pt>
                <c:pt idx="2">
                  <c:v>23.87716897959184</c:v>
                </c:pt>
              </c:numCache>
            </c:numRef>
          </c:val>
        </c:ser>
        <c:ser>
          <c:idx val="1"/>
          <c:order val="1"/>
          <c:tx>
            <c:strRef>
              <c:f>'Kiwi 2004'!$B$23</c:f>
              <c:strCache>
                <c:ptCount val="1"/>
                <c:pt idx="0">
                  <c:v>x</c:v>
                </c:pt>
              </c:strCache>
            </c:strRef>
          </c:tx>
          <c:invertIfNegative val="0"/>
          <c:val>
            <c:numRef>
              <c:f>'Kiwi 2004'!$C$23</c:f>
              <c:numCache>
                <c:formatCode>General</c:formatCode>
                <c:ptCount val="1"/>
                <c:pt idx="0">
                  <c:v>0</c:v>
                </c:pt>
              </c:numCache>
            </c:numRef>
          </c:val>
        </c:ser>
        <c:dLbls>
          <c:showLegendKey val="0"/>
          <c:showVal val="0"/>
          <c:showCatName val="0"/>
          <c:showSerName val="0"/>
          <c:showPercent val="0"/>
          <c:showBubbleSize val="0"/>
        </c:dLbls>
        <c:gapWidth val="76"/>
        <c:overlap val="-26"/>
        <c:axId val="81907072"/>
        <c:axId val="81917056"/>
      </c:barChart>
      <c:barChart>
        <c:barDir val="col"/>
        <c:grouping val="clustered"/>
        <c:varyColors val="0"/>
        <c:ser>
          <c:idx val="2"/>
          <c:order val="2"/>
          <c:tx>
            <c:strRef>
              <c:f>'Kiwi 2004'!$B$23</c:f>
              <c:strCache>
                <c:ptCount val="1"/>
                <c:pt idx="0">
                  <c:v>x</c:v>
                </c:pt>
              </c:strCache>
            </c:strRef>
          </c:tx>
          <c:invertIfNegative val="0"/>
          <c:val>
            <c:numRef>
              <c:f>'Kiwi 2004'!$C$23</c:f>
              <c:numCache>
                <c:formatCode>General</c:formatCode>
                <c:ptCount val="1"/>
                <c:pt idx="0">
                  <c:v>0</c:v>
                </c:pt>
              </c:numCache>
            </c:numRef>
          </c:val>
        </c:ser>
        <c:ser>
          <c:idx val="3"/>
          <c:order val="3"/>
          <c:tx>
            <c:strRef>
              <c:f>'Kiwi 2004'!$B$21</c:f>
              <c:strCache>
                <c:ptCount val="1"/>
                <c:pt idx="0">
                  <c:v>écart/ha</c:v>
                </c:pt>
              </c:strCache>
            </c:strRef>
          </c:tx>
          <c:spPr>
            <a:solidFill>
              <a:srgbClr val="C00000"/>
            </a:solidFill>
            <a:ln>
              <a:solidFill>
                <a:sysClr val="windowText" lastClr="000000"/>
              </a:solidFill>
            </a:ln>
            <a:scene3d>
              <a:camera prst="orthographicFront"/>
              <a:lightRig rig="threePt" dir="t"/>
            </a:scene3d>
            <a:sp3d>
              <a:bevelT w="190500" h="38100"/>
            </a:sp3d>
          </c:spPr>
          <c:invertIfNegative val="0"/>
          <c:val>
            <c:numRef>
              <c:f>('Kiwi 2004'!$C$21;'Kiwi 2004'!$G$21;'Kiwi 2004'!$K$21)</c:f>
              <c:numCache>
                <c:formatCode>General</c:formatCode>
                <c:ptCount val="3"/>
                <c:pt idx="0">
                  <c:v>230.89908333333335</c:v>
                </c:pt>
                <c:pt idx="1">
                  <c:v>286.10653333333335</c:v>
                </c:pt>
                <c:pt idx="2">
                  <c:v>306.1175510204082</c:v>
                </c:pt>
              </c:numCache>
            </c:numRef>
          </c:val>
        </c:ser>
        <c:dLbls>
          <c:showLegendKey val="0"/>
          <c:showVal val="0"/>
          <c:showCatName val="0"/>
          <c:showSerName val="0"/>
          <c:showPercent val="0"/>
          <c:showBubbleSize val="0"/>
        </c:dLbls>
        <c:gapWidth val="75"/>
        <c:overlap val="-26"/>
        <c:axId val="81949824"/>
        <c:axId val="81918976"/>
      </c:barChart>
      <c:catAx>
        <c:axId val="81907072"/>
        <c:scaling>
          <c:orientation val="minMax"/>
        </c:scaling>
        <c:delete val="0"/>
        <c:axPos val="b"/>
        <c:numFmt formatCode="General" sourceLinked="0"/>
        <c:majorTickMark val="out"/>
        <c:minorTickMark val="none"/>
        <c:tickLblPos val="nextTo"/>
        <c:crossAx val="81917056"/>
        <c:crosses val="autoZero"/>
        <c:auto val="1"/>
        <c:lblAlgn val="ctr"/>
        <c:lblOffset val="100"/>
        <c:noMultiLvlLbl val="0"/>
      </c:catAx>
      <c:valAx>
        <c:axId val="81917056"/>
        <c:scaling>
          <c:orientation val="minMax"/>
          <c:max val="25"/>
        </c:scaling>
        <c:delete val="0"/>
        <c:axPos val="l"/>
        <c:majorGridlines>
          <c:spPr>
            <a:ln>
              <a:noFill/>
            </a:ln>
          </c:spPr>
        </c:majorGridlines>
        <c:title>
          <c:tx>
            <c:rich>
              <a:bodyPr rot="-5400000" vert="horz"/>
              <a:lstStyle/>
              <a:p>
                <a:pPr>
                  <a:defRPr/>
                </a:pPr>
                <a:r>
                  <a:rPr lang="en-US"/>
                  <a:t>T/Ha</a:t>
                </a:r>
              </a:p>
            </c:rich>
          </c:tx>
          <c:overlay val="0"/>
        </c:title>
        <c:numFmt formatCode="General" sourceLinked="1"/>
        <c:majorTickMark val="out"/>
        <c:minorTickMark val="none"/>
        <c:tickLblPos val="nextTo"/>
        <c:crossAx val="81907072"/>
        <c:crosses val="autoZero"/>
        <c:crossBetween val="between"/>
      </c:valAx>
      <c:valAx>
        <c:axId val="81918976"/>
        <c:scaling>
          <c:orientation val="minMax"/>
        </c:scaling>
        <c:delete val="0"/>
        <c:axPos val="r"/>
        <c:title>
          <c:tx>
            <c:rich>
              <a:bodyPr rot="-5400000" vert="horz"/>
              <a:lstStyle/>
              <a:p>
                <a:pPr>
                  <a:defRPr/>
                </a:pPr>
                <a:r>
                  <a:rPr lang="en-US"/>
                  <a:t>Kg/Ha</a:t>
                </a:r>
              </a:p>
            </c:rich>
          </c:tx>
          <c:overlay val="0"/>
        </c:title>
        <c:numFmt formatCode="General" sourceLinked="1"/>
        <c:majorTickMark val="out"/>
        <c:minorTickMark val="none"/>
        <c:tickLblPos val="nextTo"/>
        <c:crossAx val="81949824"/>
        <c:crosses val="max"/>
        <c:crossBetween val="between"/>
      </c:valAx>
      <c:catAx>
        <c:axId val="81949824"/>
        <c:scaling>
          <c:orientation val="minMax"/>
        </c:scaling>
        <c:delete val="1"/>
        <c:axPos val="b"/>
        <c:majorTickMark val="out"/>
        <c:minorTickMark val="none"/>
        <c:tickLblPos val="nextTo"/>
        <c:crossAx val="81918976"/>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'Kiwi 2011-12'!$B$20</c:f>
              <c:strCache>
                <c:ptCount val="1"/>
                <c:pt idx="0">
                  <c:v>rendement/ha</c:v>
                </c:pt>
              </c:strCache>
            </c:strRef>
          </c:tx>
          <c:spPr>
            <a:solidFill>
              <a:schemeClr val="tx2"/>
            </a:solidFill>
            <a:ln>
              <a:solidFill>
                <a:schemeClr val="tx1"/>
              </a:solidFill>
            </a:ln>
            <a:scene3d>
              <a:camera prst="orthographicFront"/>
              <a:lightRig rig="threePt" dir="t"/>
            </a:scene3d>
            <a:sp3d>
              <a:bevelT w="190500" h="38100"/>
            </a:sp3d>
          </c:spPr>
          <c:invertIfNegative val="0"/>
          <c:cat>
            <c:strRef>
              <c:f>('Kiwi 2011-12'!$B$18;'Kiwi 2011-12'!$F$18;'Kiwi 2011-12'!$J$18)</c:f>
              <c:strCache>
                <c:ptCount val="3"/>
                <c:pt idx="0">
                  <c:v>LB</c:v>
                </c:pt>
                <c:pt idx="1">
                  <c:v>50%</c:v>
                </c:pt>
                <c:pt idx="2">
                  <c:v>CH</c:v>
                </c:pt>
              </c:strCache>
            </c:strRef>
          </c:cat>
          <c:val>
            <c:numRef>
              <c:f>('Kiwi 2011-12'!$C$20;'Kiwi 2011-12'!$G$20;'Kiwi 2011-12'!$K$20)</c:f>
              <c:numCache>
                <c:formatCode>General</c:formatCode>
                <c:ptCount val="3"/>
                <c:pt idx="0">
                  <c:v>12.147027866666667</c:v>
                </c:pt>
                <c:pt idx="1">
                  <c:v>13.333120000000001</c:v>
                </c:pt>
                <c:pt idx="2">
                  <c:v>14.5997664</c:v>
                </c:pt>
              </c:numCache>
            </c:numRef>
          </c:val>
        </c:ser>
        <c:ser>
          <c:idx val="1"/>
          <c:order val="1"/>
          <c:tx>
            <c:strRef>
              <c:f>'Kiwi 2011-12'!$B$24</c:f>
              <c:strCache>
                <c:ptCount val="1"/>
                <c:pt idx="0">
                  <c:v>x</c:v>
                </c:pt>
              </c:strCache>
            </c:strRef>
          </c:tx>
          <c:invertIfNegative val="0"/>
          <c:val>
            <c:numRef>
              <c:f>'Kiwi 2011-12'!$C$24</c:f>
              <c:numCache>
                <c:formatCode>General</c:formatCode>
                <c:ptCount val="1"/>
                <c:pt idx="0">
                  <c:v>0</c:v>
                </c:pt>
              </c:numCache>
            </c:numRef>
          </c:val>
        </c:ser>
        <c:dLbls>
          <c:showLegendKey val="0"/>
          <c:showVal val="0"/>
          <c:showCatName val="0"/>
          <c:showSerName val="0"/>
          <c:showPercent val="0"/>
          <c:showBubbleSize val="0"/>
        </c:dLbls>
        <c:gapWidth val="74"/>
        <c:overlap val="-24"/>
        <c:axId val="82003072"/>
        <c:axId val="82004608"/>
      </c:barChart>
      <c:barChart>
        <c:barDir val="col"/>
        <c:grouping val="clustered"/>
        <c:varyColors val="0"/>
        <c:ser>
          <c:idx val="2"/>
          <c:order val="2"/>
          <c:tx>
            <c:strRef>
              <c:f>'Kiwi 2011-12'!$B$24</c:f>
              <c:strCache>
                <c:ptCount val="1"/>
                <c:pt idx="0">
                  <c:v>x</c:v>
                </c:pt>
              </c:strCache>
            </c:strRef>
          </c:tx>
          <c:invertIfNegative val="0"/>
          <c:val>
            <c:numRef>
              <c:f>'Kiwi 2011-12'!$C$24</c:f>
              <c:numCache>
                <c:formatCode>General</c:formatCode>
                <c:ptCount val="1"/>
                <c:pt idx="0">
                  <c:v>0</c:v>
                </c:pt>
              </c:numCache>
            </c:numRef>
          </c:val>
        </c:ser>
        <c:ser>
          <c:idx val="3"/>
          <c:order val="3"/>
          <c:tx>
            <c:strRef>
              <c:f>'Kiwi 2011-12'!$B$22</c:f>
              <c:strCache>
                <c:ptCount val="1"/>
                <c:pt idx="0">
                  <c:v>écart/ha</c:v>
                </c:pt>
              </c:strCache>
            </c:strRef>
          </c:tx>
          <c:spPr>
            <a:solidFill>
              <a:srgbClr val="C00000"/>
            </a:solidFill>
            <a:ln>
              <a:solidFill>
                <a:schemeClr val="tx1"/>
              </a:solidFill>
            </a:ln>
            <a:scene3d>
              <a:camera prst="orthographicFront"/>
              <a:lightRig rig="threePt" dir="t"/>
            </a:scene3d>
            <a:sp3d>
              <a:bevelT w="190500" h="38100"/>
            </a:sp3d>
          </c:spPr>
          <c:invertIfNegative val="0"/>
          <c:val>
            <c:numRef>
              <c:f>('Kiwi 2011-12'!$C$22;'Kiwi 2011-12'!$G$22;'Kiwi 2011-12'!$K$22)</c:f>
              <c:numCache>
                <c:formatCode>General</c:formatCode>
                <c:ptCount val="3"/>
                <c:pt idx="0">
                  <c:v>9.7220666666666666</c:v>
                </c:pt>
                <c:pt idx="1">
                  <c:v>16.110853333333335</c:v>
                </c:pt>
                <c:pt idx="2">
                  <c:v>19.557510204081634</c:v>
                </c:pt>
              </c:numCache>
            </c:numRef>
          </c:val>
        </c:ser>
        <c:dLbls>
          <c:showLegendKey val="0"/>
          <c:showVal val="0"/>
          <c:showCatName val="0"/>
          <c:showSerName val="0"/>
          <c:showPercent val="0"/>
          <c:showBubbleSize val="0"/>
        </c:dLbls>
        <c:gapWidth val="74"/>
        <c:overlap val="-24"/>
        <c:axId val="82008704"/>
        <c:axId val="82006784"/>
      </c:barChart>
      <c:catAx>
        <c:axId val="82003072"/>
        <c:scaling>
          <c:orientation val="minMax"/>
        </c:scaling>
        <c:delete val="0"/>
        <c:axPos val="b"/>
        <c:numFmt formatCode="General" sourceLinked="0"/>
        <c:majorTickMark val="out"/>
        <c:minorTickMark val="none"/>
        <c:tickLblPos val="nextTo"/>
        <c:crossAx val="82004608"/>
        <c:crosses val="autoZero"/>
        <c:auto val="1"/>
        <c:lblAlgn val="ctr"/>
        <c:lblOffset val="100"/>
        <c:noMultiLvlLbl val="0"/>
      </c:catAx>
      <c:valAx>
        <c:axId val="82004608"/>
        <c:scaling>
          <c:orientation val="minMax"/>
        </c:scaling>
        <c:delete val="0"/>
        <c:axPos val="l"/>
        <c:majorGridlines>
          <c:spPr>
            <a:ln>
              <a:noFill/>
            </a:ln>
          </c:spPr>
        </c:majorGridlines>
        <c:title>
          <c:tx>
            <c:rich>
              <a:bodyPr rot="-5400000" vert="horz"/>
              <a:lstStyle/>
              <a:p>
                <a:pPr>
                  <a:defRPr/>
                </a:pPr>
                <a:r>
                  <a:rPr lang="en-US"/>
                  <a:t>T/Ha</a:t>
                </a:r>
              </a:p>
            </c:rich>
          </c:tx>
          <c:overlay val="0"/>
        </c:title>
        <c:numFmt formatCode="General" sourceLinked="1"/>
        <c:majorTickMark val="out"/>
        <c:minorTickMark val="none"/>
        <c:tickLblPos val="nextTo"/>
        <c:crossAx val="82003072"/>
        <c:crosses val="autoZero"/>
        <c:crossBetween val="between"/>
      </c:valAx>
      <c:valAx>
        <c:axId val="82006784"/>
        <c:scaling>
          <c:orientation val="minMax"/>
        </c:scaling>
        <c:delete val="0"/>
        <c:axPos val="r"/>
        <c:title>
          <c:tx>
            <c:rich>
              <a:bodyPr rot="-5400000" vert="horz"/>
              <a:lstStyle/>
              <a:p>
                <a:pPr>
                  <a:defRPr/>
                </a:pPr>
                <a:r>
                  <a:rPr lang="en-US"/>
                  <a:t>Kg/Ha</a:t>
                </a:r>
              </a:p>
            </c:rich>
          </c:tx>
          <c:overlay val="0"/>
        </c:title>
        <c:numFmt formatCode="General" sourceLinked="1"/>
        <c:majorTickMark val="out"/>
        <c:minorTickMark val="none"/>
        <c:tickLblPos val="nextTo"/>
        <c:crossAx val="82008704"/>
        <c:crosses val="max"/>
        <c:crossBetween val="between"/>
      </c:valAx>
      <c:catAx>
        <c:axId val="82008704"/>
        <c:scaling>
          <c:orientation val="minMax"/>
        </c:scaling>
        <c:delete val="1"/>
        <c:axPos val="b"/>
        <c:majorTickMark val="out"/>
        <c:minorTickMark val="none"/>
        <c:tickLblPos val="nextTo"/>
        <c:crossAx val="82006784"/>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Feuil1!$A$16</c:f>
              <c:strCache>
                <c:ptCount val="1"/>
                <c:pt idx="0">
                  <c:v>Juin</c:v>
                </c:pt>
              </c:strCache>
            </c:strRef>
          </c:tx>
          <c:spPr>
            <a:ln>
              <a:solidFill>
                <a:sysClr val="windowText" lastClr="000000"/>
              </a:solidFill>
            </a:ln>
            <a:scene3d>
              <a:camera prst="orthographicFront"/>
              <a:lightRig rig="threePt" dir="t"/>
            </a:scene3d>
            <a:sp3d>
              <a:bevelT w="190500" h="38100"/>
            </a:sp3d>
          </c:spPr>
          <c:invertIfNegative val="0"/>
          <c:cat>
            <c:strRef>
              <c:f>Feuil1!$F$15:$H$15</c:f>
              <c:strCache>
                <c:ptCount val="3"/>
                <c:pt idx="0">
                  <c:v>LB</c:v>
                </c:pt>
                <c:pt idx="1">
                  <c:v>50%</c:v>
                </c:pt>
                <c:pt idx="2">
                  <c:v>CH</c:v>
                </c:pt>
              </c:strCache>
            </c:strRef>
          </c:cat>
          <c:val>
            <c:numRef>
              <c:f>Feuil1!$F$16:$H$16</c:f>
              <c:numCache>
                <c:formatCode>General</c:formatCode>
                <c:ptCount val="3"/>
                <c:pt idx="0">
                  <c:v>0</c:v>
                </c:pt>
                <c:pt idx="1">
                  <c:v>2</c:v>
                </c:pt>
                <c:pt idx="2">
                  <c:v>24</c:v>
                </c:pt>
              </c:numCache>
            </c:numRef>
          </c:val>
        </c:ser>
        <c:ser>
          <c:idx val="1"/>
          <c:order val="1"/>
          <c:tx>
            <c:strRef>
              <c:f>Feuil1!$A$17</c:f>
              <c:strCache>
                <c:ptCount val="1"/>
                <c:pt idx="0">
                  <c:v>Juillet</c:v>
                </c:pt>
              </c:strCache>
            </c:strRef>
          </c:tx>
          <c:spPr>
            <a:ln>
              <a:solidFill>
                <a:sysClr val="windowText" lastClr="000000"/>
              </a:solidFill>
            </a:ln>
            <a:scene3d>
              <a:camera prst="orthographicFront"/>
              <a:lightRig rig="threePt" dir="t"/>
            </a:scene3d>
            <a:sp3d>
              <a:bevelT w="190500" h="38100"/>
            </a:sp3d>
          </c:spPr>
          <c:invertIfNegative val="0"/>
          <c:cat>
            <c:strRef>
              <c:f>Feuil1!$F$15:$H$15</c:f>
              <c:strCache>
                <c:ptCount val="3"/>
                <c:pt idx="0">
                  <c:v>LB</c:v>
                </c:pt>
                <c:pt idx="1">
                  <c:v>50%</c:v>
                </c:pt>
                <c:pt idx="2">
                  <c:v>CH</c:v>
                </c:pt>
              </c:strCache>
            </c:strRef>
          </c:cat>
          <c:val>
            <c:numRef>
              <c:f>Feuil1!$F$17:$H$17</c:f>
              <c:numCache>
                <c:formatCode>General</c:formatCode>
                <c:ptCount val="3"/>
                <c:pt idx="0">
                  <c:v>70</c:v>
                </c:pt>
                <c:pt idx="1">
                  <c:v>51</c:v>
                </c:pt>
                <c:pt idx="2">
                  <c:v>71</c:v>
                </c:pt>
              </c:numCache>
            </c:numRef>
          </c:val>
        </c:ser>
        <c:ser>
          <c:idx val="2"/>
          <c:order val="2"/>
          <c:tx>
            <c:strRef>
              <c:f>Feuil1!$A$18</c:f>
              <c:strCache>
                <c:ptCount val="1"/>
                <c:pt idx="0">
                  <c:v>Août</c:v>
                </c:pt>
              </c:strCache>
            </c:strRef>
          </c:tx>
          <c:spPr>
            <a:ln>
              <a:solidFill>
                <a:sysClr val="windowText" lastClr="000000"/>
              </a:solidFill>
            </a:ln>
            <a:scene3d>
              <a:camera prst="orthographicFront"/>
              <a:lightRig rig="threePt" dir="t"/>
            </a:scene3d>
            <a:sp3d>
              <a:bevelT w="190500" h="38100"/>
            </a:sp3d>
          </c:spPr>
          <c:invertIfNegative val="0"/>
          <c:cat>
            <c:strRef>
              <c:f>Feuil1!$F$15:$H$15</c:f>
              <c:strCache>
                <c:ptCount val="3"/>
                <c:pt idx="0">
                  <c:v>LB</c:v>
                </c:pt>
                <c:pt idx="1">
                  <c:v>50%</c:v>
                </c:pt>
                <c:pt idx="2">
                  <c:v>CH</c:v>
                </c:pt>
              </c:strCache>
            </c:strRef>
          </c:cat>
          <c:val>
            <c:numRef>
              <c:f>Feuil1!$F$18:$H$18</c:f>
              <c:numCache>
                <c:formatCode>General</c:formatCode>
                <c:ptCount val="3"/>
                <c:pt idx="0">
                  <c:v>231</c:v>
                </c:pt>
                <c:pt idx="1">
                  <c:v>246</c:v>
                </c:pt>
                <c:pt idx="2">
                  <c:v>372</c:v>
                </c:pt>
              </c:numCache>
            </c:numRef>
          </c:val>
        </c:ser>
        <c:dLbls>
          <c:showLegendKey val="0"/>
          <c:showVal val="0"/>
          <c:showCatName val="0"/>
          <c:showSerName val="0"/>
          <c:showPercent val="0"/>
          <c:showBubbleSize val="0"/>
        </c:dLbls>
        <c:gapWidth val="150"/>
        <c:overlap val="100"/>
        <c:axId val="81871616"/>
        <c:axId val="81873152"/>
      </c:barChart>
      <c:catAx>
        <c:axId val="81871616"/>
        <c:scaling>
          <c:orientation val="minMax"/>
        </c:scaling>
        <c:delete val="0"/>
        <c:axPos val="b"/>
        <c:numFmt formatCode="General" sourceLinked="0"/>
        <c:majorTickMark val="out"/>
        <c:minorTickMark val="none"/>
        <c:tickLblPos val="nextTo"/>
        <c:crossAx val="81873152"/>
        <c:crosses val="autoZero"/>
        <c:auto val="1"/>
        <c:lblAlgn val="ctr"/>
        <c:lblOffset val="100"/>
        <c:noMultiLvlLbl val="0"/>
      </c:catAx>
      <c:valAx>
        <c:axId val="81873152"/>
        <c:scaling>
          <c:orientation val="minMax"/>
        </c:scaling>
        <c:delete val="0"/>
        <c:axPos val="l"/>
        <c:majorGridlines>
          <c:spPr>
            <a:ln>
              <a:noFill/>
            </a:ln>
          </c:spPr>
        </c:majorGridlines>
        <c:numFmt formatCode="General" sourceLinked="1"/>
        <c:majorTickMark val="out"/>
        <c:minorTickMark val="none"/>
        <c:tickLblPos val="nextTo"/>
        <c:crossAx val="818716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'SRA 85'!$G$3</c:f>
              <c:strCache>
                <c:ptCount val="1"/>
                <c:pt idx="0">
                  <c:v>E</c:v>
                </c:pt>
              </c:strCache>
            </c:strRef>
          </c:tx>
          <c:spPr>
            <a:solidFill>
              <a:srgbClr val="7030A0"/>
            </a:solidFill>
            <a:ln>
              <a:solidFill>
                <a:schemeClr val="tx1"/>
              </a:solidFill>
            </a:ln>
            <a:scene3d>
              <a:camera prst="orthographicFront"/>
              <a:lightRig rig="threePt" dir="t"/>
            </a:scene3d>
            <a:sp3d>
              <a:bevelT w="190500" h="38100"/>
            </a:sp3d>
          </c:spPr>
          <c:invertIfNegative val="0"/>
          <c:cat>
            <c:strRef>
              <c:f>'SRA 85'!$A$4:$A$6</c:f>
              <c:strCache>
                <c:ptCount val="3"/>
                <c:pt idx="0">
                  <c:v>LB</c:v>
                </c:pt>
                <c:pt idx="1">
                  <c:v>50%</c:v>
                </c:pt>
                <c:pt idx="2">
                  <c:v>CH</c:v>
                </c:pt>
              </c:strCache>
            </c:strRef>
          </c:cat>
          <c:val>
            <c:numRef>
              <c:f>'SRA 85'!$G$4:$G$6</c:f>
              <c:numCache>
                <c:formatCode>General</c:formatCode>
                <c:ptCount val="3"/>
                <c:pt idx="0">
                  <c:v>10.199999999999999</c:v>
                </c:pt>
                <c:pt idx="1">
                  <c:v>9.9</c:v>
                </c:pt>
                <c:pt idx="2">
                  <c:v>9</c:v>
                </c:pt>
              </c:numCache>
            </c:numRef>
          </c:val>
        </c:ser>
        <c:ser>
          <c:idx val="1"/>
          <c:order val="1"/>
          <c:tx>
            <c:strRef>
              <c:f>'SRA 85'!$J$3</c:f>
              <c:strCache>
                <c:ptCount val="1"/>
                <c:pt idx="0">
                  <c:v>x</c:v>
                </c:pt>
              </c:strCache>
            </c:strRef>
          </c:tx>
          <c:invertIfNegative val="0"/>
          <c:cat>
            <c:strRef>
              <c:f>'SRA 85'!$A$4:$A$6</c:f>
              <c:strCache>
                <c:ptCount val="3"/>
                <c:pt idx="0">
                  <c:v>LB</c:v>
                </c:pt>
                <c:pt idx="1">
                  <c:v>50%</c:v>
                </c:pt>
                <c:pt idx="2">
                  <c:v>CH</c:v>
                </c:pt>
              </c:strCache>
            </c:strRef>
          </c:cat>
          <c:val>
            <c:numRef>
              <c:f>'SRA 85'!$J$4:$J$6</c:f>
              <c:numCache>
                <c:formatCode>General</c:formatCode>
                <c:ptCount val="3"/>
                <c:pt idx="0">
                  <c:v>0</c:v>
                </c:pt>
                <c:pt idx="1">
                  <c:v>0</c:v>
                </c:pt>
                <c:pt idx="2">
                  <c:v>0</c:v>
                </c:pt>
              </c:numCache>
            </c:numRef>
          </c:val>
        </c:ser>
        <c:dLbls>
          <c:showLegendKey val="0"/>
          <c:showVal val="0"/>
          <c:showCatName val="0"/>
          <c:showSerName val="0"/>
          <c:showPercent val="0"/>
          <c:showBubbleSize val="0"/>
        </c:dLbls>
        <c:gapWidth val="74"/>
        <c:overlap val="-26"/>
        <c:axId val="190751488"/>
        <c:axId val="193748992"/>
      </c:barChart>
      <c:barChart>
        <c:barDir val="col"/>
        <c:grouping val="clustered"/>
        <c:varyColors val="0"/>
        <c:ser>
          <c:idx val="2"/>
          <c:order val="2"/>
          <c:tx>
            <c:strRef>
              <c:f>'SRA 85'!$J$3</c:f>
              <c:strCache>
                <c:ptCount val="1"/>
                <c:pt idx="0">
                  <c:v>x</c:v>
                </c:pt>
              </c:strCache>
            </c:strRef>
          </c:tx>
          <c:invertIfNegative val="0"/>
          <c:cat>
            <c:strRef>
              <c:f>'SRA 85'!$A$4:$A$6</c:f>
              <c:strCache>
                <c:ptCount val="3"/>
                <c:pt idx="0">
                  <c:v>LB</c:v>
                </c:pt>
                <c:pt idx="1">
                  <c:v>50%</c:v>
                </c:pt>
                <c:pt idx="2">
                  <c:v>CH</c:v>
                </c:pt>
              </c:strCache>
            </c:strRef>
          </c:cat>
          <c:val>
            <c:numRef>
              <c:f>'SRA 85'!$J$4:$J$6</c:f>
              <c:numCache>
                <c:formatCode>General</c:formatCode>
                <c:ptCount val="3"/>
                <c:pt idx="0">
                  <c:v>0</c:v>
                </c:pt>
                <c:pt idx="1">
                  <c:v>0</c:v>
                </c:pt>
                <c:pt idx="2">
                  <c:v>0</c:v>
                </c:pt>
              </c:numCache>
            </c:numRef>
          </c:val>
        </c:ser>
        <c:ser>
          <c:idx val="3"/>
          <c:order val="3"/>
          <c:tx>
            <c:strRef>
              <c:f>'SRA 85'!$H$3</c:f>
              <c:strCache>
                <c:ptCount val="1"/>
                <c:pt idx="0">
                  <c:v>A</c:v>
                </c:pt>
              </c:strCache>
            </c:strRef>
          </c:tx>
          <c:spPr>
            <a:solidFill>
              <a:srgbClr val="92D050"/>
            </a:solidFill>
            <a:ln>
              <a:solidFill>
                <a:schemeClr val="tx1"/>
              </a:solidFill>
            </a:ln>
            <a:scene3d>
              <a:camera prst="orthographicFront"/>
              <a:lightRig rig="threePt" dir="t"/>
            </a:scene3d>
            <a:sp3d>
              <a:bevelT w="190500" h="38100"/>
            </a:sp3d>
          </c:spPr>
          <c:invertIfNegative val="0"/>
          <c:cat>
            <c:strRef>
              <c:f>'SRA 85'!$A$4:$A$6</c:f>
              <c:strCache>
                <c:ptCount val="3"/>
                <c:pt idx="0">
                  <c:v>LB</c:v>
                </c:pt>
                <c:pt idx="1">
                  <c:v>50%</c:v>
                </c:pt>
                <c:pt idx="2">
                  <c:v>CH</c:v>
                </c:pt>
              </c:strCache>
            </c:strRef>
          </c:cat>
          <c:val>
            <c:numRef>
              <c:f>'SRA 85'!$H$4:$H$6</c:f>
              <c:numCache>
                <c:formatCode>0.00</c:formatCode>
                <c:ptCount val="3"/>
                <c:pt idx="0">
                  <c:v>0.71517576325751286</c:v>
                </c:pt>
                <c:pt idx="1">
                  <c:v>0.71719577186687089</c:v>
                </c:pt>
                <c:pt idx="2">
                  <c:v>0.7249216741739205</c:v>
                </c:pt>
              </c:numCache>
            </c:numRef>
          </c:val>
        </c:ser>
        <c:dLbls>
          <c:showLegendKey val="0"/>
          <c:showVal val="0"/>
          <c:showCatName val="0"/>
          <c:showSerName val="0"/>
          <c:showPercent val="0"/>
          <c:showBubbleSize val="0"/>
        </c:dLbls>
        <c:gapWidth val="74"/>
        <c:overlap val="-24"/>
        <c:axId val="32662272"/>
        <c:axId val="200459776"/>
      </c:barChart>
      <c:catAx>
        <c:axId val="190751488"/>
        <c:scaling>
          <c:orientation val="minMax"/>
        </c:scaling>
        <c:delete val="0"/>
        <c:axPos val="b"/>
        <c:numFmt formatCode="General" sourceLinked="0"/>
        <c:majorTickMark val="out"/>
        <c:minorTickMark val="none"/>
        <c:tickLblPos val="nextTo"/>
        <c:crossAx val="193748992"/>
        <c:crosses val="autoZero"/>
        <c:auto val="1"/>
        <c:lblAlgn val="ctr"/>
        <c:lblOffset val="100"/>
        <c:noMultiLvlLbl val="0"/>
      </c:catAx>
      <c:valAx>
        <c:axId val="193748992"/>
        <c:scaling>
          <c:orientation val="minMax"/>
          <c:min val="0"/>
        </c:scaling>
        <c:delete val="0"/>
        <c:axPos val="l"/>
        <c:majorGridlines>
          <c:spPr>
            <a:ln>
              <a:noFill/>
            </a:ln>
          </c:spPr>
        </c:majorGridlines>
        <c:numFmt formatCode="General" sourceLinked="1"/>
        <c:majorTickMark val="out"/>
        <c:minorTickMark val="none"/>
        <c:tickLblPos val="nextTo"/>
        <c:crossAx val="190751488"/>
        <c:crosses val="autoZero"/>
        <c:crossBetween val="between"/>
      </c:valAx>
      <c:valAx>
        <c:axId val="200459776"/>
        <c:scaling>
          <c:orientation val="minMax"/>
        </c:scaling>
        <c:delete val="0"/>
        <c:axPos val="r"/>
        <c:numFmt formatCode="General" sourceLinked="1"/>
        <c:majorTickMark val="out"/>
        <c:minorTickMark val="none"/>
        <c:tickLblPos val="nextTo"/>
        <c:crossAx val="32662272"/>
        <c:crosses val="max"/>
        <c:crossBetween val="between"/>
      </c:valAx>
      <c:catAx>
        <c:axId val="32662272"/>
        <c:scaling>
          <c:orientation val="minMax"/>
        </c:scaling>
        <c:delete val="1"/>
        <c:axPos val="b"/>
        <c:numFmt formatCode="General" sourceLinked="1"/>
        <c:majorTickMark val="out"/>
        <c:minorTickMark val="none"/>
        <c:tickLblPos val="nextTo"/>
        <c:crossAx val="200459776"/>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Feuil1!$A$16</c:f>
              <c:strCache>
                <c:ptCount val="1"/>
                <c:pt idx="0">
                  <c:v>Juin</c:v>
                </c:pt>
              </c:strCache>
            </c:strRef>
          </c:tx>
          <c:spPr>
            <a:ln>
              <a:solidFill>
                <a:sysClr val="windowText" lastClr="000000"/>
              </a:solidFill>
            </a:ln>
            <a:scene3d>
              <a:camera prst="orthographicFront"/>
              <a:lightRig rig="threePt" dir="t"/>
            </a:scene3d>
            <a:sp3d>
              <a:bevelT w="190500" h="38100"/>
            </a:sp3d>
          </c:spPr>
          <c:invertIfNegative val="0"/>
          <c:cat>
            <c:strRef>
              <c:f>Feuil1!$B$15:$D$15</c:f>
              <c:strCache>
                <c:ptCount val="3"/>
                <c:pt idx="0">
                  <c:v>LB</c:v>
                </c:pt>
                <c:pt idx="1">
                  <c:v>50%</c:v>
                </c:pt>
                <c:pt idx="2">
                  <c:v>CH</c:v>
                </c:pt>
              </c:strCache>
            </c:strRef>
          </c:cat>
          <c:val>
            <c:numRef>
              <c:f>(Feuil1!$B$16;Feuil1!$C$16;Feuil1!$D$16)</c:f>
              <c:numCache>
                <c:formatCode>General</c:formatCode>
                <c:ptCount val="3"/>
                <c:pt idx="0">
                  <c:v>1</c:v>
                </c:pt>
                <c:pt idx="1">
                  <c:v>0</c:v>
                </c:pt>
                <c:pt idx="2">
                  <c:v>6</c:v>
                </c:pt>
              </c:numCache>
            </c:numRef>
          </c:val>
        </c:ser>
        <c:ser>
          <c:idx val="1"/>
          <c:order val="1"/>
          <c:tx>
            <c:strRef>
              <c:f>Feuil1!$A$17</c:f>
              <c:strCache>
                <c:ptCount val="1"/>
                <c:pt idx="0">
                  <c:v>Juillet</c:v>
                </c:pt>
              </c:strCache>
            </c:strRef>
          </c:tx>
          <c:spPr>
            <a:ln>
              <a:solidFill>
                <a:sysClr val="windowText" lastClr="000000"/>
              </a:solidFill>
            </a:ln>
            <a:scene3d>
              <a:camera prst="orthographicFront"/>
              <a:lightRig rig="threePt" dir="t"/>
            </a:scene3d>
            <a:sp3d>
              <a:bevelT w="190500" h="38100"/>
            </a:sp3d>
          </c:spPr>
          <c:invertIfNegative val="0"/>
          <c:val>
            <c:numRef>
              <c:f>(Feuil1!$B$17;Feuil1!$C$17;Feuil1!$D$17)</c:f>
              <c:numCache>
                <c:formatCode>General</c:formatCode>
                <c:ptCount val="3"/>
                <c:pt idx="0">
                  <c:v>100</c:v>
                </c:pt>
                <c:pt idx="1">
                  <c:v>61</c:v>
                </c:pt>
                <c:pt idx="2">
                  <c:v>82</c:v>
                </c:pt>
              </c:numCache>
            </c:numRef>
          </c:val>
        </c:ser>
        <c:ser>
          <c:idx val="2"/>
          <c:order val="2"/>
          <c:tx>
            <c:strRef>
              <c:f>Feuil1!$A$18</c:f>
              <c:strCache>
                <c:ptCount val="1"/>
                <c:pt idx="0">
                  <c:v>Août</c:v>
                </c:pt>
              </c:strCache>
            </c:strRef>
          </c:tx>
          <c:spPr>
            <a:ln>
              <a:solidFill>
                <a:sysClr val="windowText" lastClr="000000"/>
              </a:solidFill>
            </a:ln>
            <a:scene3d>
              <a:camera prst="orthographicFront"/>
              <a:lightRig rig="threePt" dir="t"/>
            </a:scene3d>
            <a:sp3d>
              <a:bevelT w="190500" h="38100"/>
            </a:sp3d>
          </c:spPr>
          <c:invertIfNegative val="0"/>
          <c:val>
            <c:numRef>
              <c:f>(Feuil1!$B$18;Feuil1!$C$18;Feuil1!$D$18)</c:f>
              <c:numCache>
                <c:formatCode>General</c:formatCode>
                <c:ptCount val="3"/>
                <c:pt idx="0">
                  <c:v>280</c:v>
                </c:pt>
                <c:pt idx="1">
                  <c:v>194</c:v>
                </c:pt>
                <c:pt idx="2">
                  <c:v>237</c:v>
                </c:pt>
              </c:numCache>
            </c:numRef>
          </c:val>
        </c:ser>
        <c:dLbls>
          <c:showLegendKey val="0"/>
          <c:showVal val="0"/>
          <c:showCatName val="0"/>
          <c:showSerName val="0"/>
          <c:showPercent val="0"/>
          <c:showBubbleSize val="0"/>
        </c:dLbls>
        <c:gapWidth val="150"/>
        <c:overlap val="100"/>
        <c:axId val="81964032"/>
        <c:axId val="81965824"/>
      </c:barChart>
      <c:catAx>
        <c:axId val="81964032"/>
        <c:scaling>
          <c:orientation val="minMax"/>
        </c:scaling>
        <c:delete val="0"/>
        <c:axPos val="b"/>
        <c:numFmt formatCode="General" sourceLinked="0"/>
        <c:majorTickMark val="out"/>
        <c:minorTickMark val="none"/>
        <c:tickLblPos val="nextTo"/>
        <c:crossAx val="81965824"/>
        <c:crosses val="autoZero"/>
        <c:auto val="1"/>
        <c:lblAlgn val="ctr"/>
        <c:lblOffset val="100"/>
        <c:noMultiLvlLbl val="0"/>
      </c:catAx>
      <c:valAx>
        <c:axId val="81965824"/>
        <c:scaling>
          <c:orientation val="minMax"/>
        </c:scaling>
        <c:delete val="0"/>
        <c:axPos val="l"/>
        <c:majorGridlines>
          <c:spPr>
            <a:ln>
              <a:noFill/>
            </a:ln>
          </c:spPr>
        </c:majorGridlines>
        <c:numFmt formatCode="General" sourceLinked="1"/>
        <c:majorTickMark val="out"/>
        <c:minorTickMark val="none"/>
        <c:tickLblPos val="nextTo"/>
        <c:crossAx val="819640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Caffin!$G$3</c:f>
              <c:strCache>
                <c:ptCount val="1"/>
                <c:pt idx="0">
                  <c:v>E</c:v>
                </c:pt>
              </c:strCache>
            </c:strRef>
          </c:tx>
          <c:spPr>
            <a:solidFill>
              <a:srgbClr val="7030A0"/>
            </a:solidFill>
            <a:ln>
              <a:solidFill>
                <a:schemeClr val="tx1"/>
              </a:solidFill>
            </a:ln>
            <a:scene3d>
              <a:camera prst="orthographicFront"/>
              <a:lightRig rig="threePt" dir="t"/>
            </a:scene3d>
            <a:sp3d>
              <a:bevelT w="190500" h="38100"/>
            </a:sp3d>
          </c:spPr>
          <c:invertIfNegative val="0"/>
          <c:cat>
            <c:strRef>
              <c:f>Caffin!$A$4:$A$6</c:f>
              <c:strCache>
                <c:ptCount val="3"/>
                <c:pt idx="0">
                  <c:v>LB</c:v>
                </c:pt>
                <c:pt idx="1">
                  <c:v>50%</c:v>
                </c:pt>
                <c:pt idx="2">
                  <c:v>CH</c:v>
                </c:pt>
              </c:strCache>
            </c:strRef>
          </c:cat>
          <c:val>
            <c:numRef>
              <c:f>Caffin!$G$4:$G$6</c:f>
              <c:numCache>
                <c:formatCode>General</c:formatCode>
                <c:ptCount val="3"/>
                <c:pt idx="0">
                  <c:v>10.3</c:v>
                </c:pt>
                <c:pt idx="1">
                  <c:v>10.9</c:v>
                </c:pt>
                <c:pt idx="2">
                  <c:v>10.8</c:v>
                </c:pt>
              </c:numCache>
            </c:numRef>
          </c:val>
        </c:ser>
        <c:ser>
          <c:idx val="1"/>
          <c:order val="1"/>
          <c:tx>
            <c:strRef>
              <c:f>Caffin!$J$3</c:f>
              <c:strCache>
                <c:ptCount val="1"/>
                <c:pt idx="0">
                  <c:v>x</c:v>
                </c:pt>
              </c:strCache>
            </c:strRef>
          </c:tx>
          <c:invertIfNegative val="0"/>
          <c:cat>
            <c:strRef>
              <c:f>Caffin!$A$4:$A$6</c:f>
              <c:strCache>
                <c:ptCount val="3"/>
                <c:pt idx="0">
                  <c:v>LB</c:v>
                </c:pt>
                <c:pt idx="1">
                  <c:v>50%</c:v>
                </c:pt>
                <c:pt idx="2">
                  <c:v>CH</c:v>
                </c:pt>
              </c:strCache>
            </c:strRef>
          </c:cat>
          <c:val>
            <c:numRef>
              <c:f>Caffin!$J$4:$J$6</c:f>
              <c:numCache>
                <c:formatCode>General</c:formatCode>
                <c:ptCount val="3"/>
                <c:pt idx="0">
                  <c:v>0</c:v>
                </c:pt>
                <c:pt idx="1">
                  <c:v>0</c:v>
                </c:pt>
                <c:pt idx="2">
                  <c:v>0</c:v>
                </c:pt>
              </c:numCache>
            </c:numRef>
          </c:val>
        </c:ser>
        <c:dLbls>
          <c:showLegendKey val="0"/>
          <c:showVal val="0"/>
          <c:showCatName val="0"/>
          <c:showSerName val="0"/>
          <c:showPercent val="0"/>
          <c:showBubbleSize val="0"/>
        </c:dLbls>
        <c:gapWidth val="76"/>
        <c:overlap val="-26"/>
        <c:axId val="71742208"/>
        <c:axId val="71743744"/>
      </c:barChart>
      <c:barChart>
        <c:barDir val="col"/>
        <c:grouping val="clustered"/>
        <c:varyColors val="0"/>
        <c:ser>
          <c:idx val="2"/>
          <c:order val="2"/>
          <c:tx>
            <c:strRef>
              <c:f>Caffin!$J$3</c:f>
              <c:strCache>
                <c:ptCount val="1"/>
                <c:pt idx="0">
                  <c:v>x</c:v>
                </c:pt>
              </c:strCache>
            </c:strRef>
          </c:tx>
          <c:invertIfNegative val="0"/>
          <c:cat>
            <c:strRef>
              <c:f>Caffin!$A$4:$A$6</c:f>
              <c:strCache>
                <c:ptCount val="3"/>
                <c:pt idx="0">
                  <c:v>LB</c:v>
                </c:pt>
                <c:pt idx="1">
                  <c:v>50%</c:v>
                </c:pt>
                <c:pt idx="2">
                  <c:v>CH</c:v>
                </c:pt>
              </c:strCache>
            </c:strRef>
          </c:cat>
          <c:val>
            <c:numRef>
              <c:f>Caffin!$J$4:$J$6</c:f>
              <c:numCache>
                <c:formatCode>General</c:formatCode>
                <c:ptCount val="3"/>
                <c:pt idx="0">
                  <c:v>0</c:v>
                </c:pt>
                <c:pt idx="1">
                  <c:v>0</c:v>
                </c:pt>
                <c:pt idx="2">
                  <c:v>0</c:v>
                </c:pt>
              </c:numCache>
            </c:numRef>
          </c:val>
        </c:ser>
        <c:ser>
          <c:idx val="3"/>
          <c:order val="3"/>
          <c:tx>
            <c:strRef>
              <c:f>Caffin!$H$3</c:f>
              <c:strCache>
                <c:ptCount val="1"/>
                <c:pt idx="0">
                  <c:v>A</c:v>
                </c:pt>
              </c:strCache>
            </c:strRef>
          </c:tx>
          <c:spPr>
            <a:solidFill>
              <a:srgbClr val="92D050"/>
            </a:solidFill>
            <a:ln>
              <a:solidFill>
                <a:schemeClr val="tx1"/>
              </a:solidFill>
            </a:ln>
            <a:scene3d>
              <a:camera prst="orthographicFront"/>
              <a:lightRig rig="threePt" dir="t"/>
            </a:scene3d>
            <a:sp3d>
              <a:bevelT w="190500" h="38100"/>
            </a:sp3d>
          </c:spPr>
          <c:invertIfNegative val="0"/>
          <c:cat>
            <c:strRef>
              <c:f>Caffin!$A$4:$A$6</c:f>
              <c:strCache>
                <c:ptCount val="3"/>
                <c:pt idx="0">
                  <c:v>LB</c:v>
                </c:pt>
                <c:pt idx="1">
                  <c:v>50%</c:v>
                </c:pt>
                <c:pt idx="2">
                  <c:v>CH</c:v>
                </c:pt>
              </c:strCache>
            </c:strRef>
          </c:cat>
          <c:val>
            <c:numRef>
              <c:f>Caffin!$H$4:$H$6</c:f>
              <c:numCache>
                <c:formatCode>0.00</c:formatCode>
                <c:ptCount val="3"/>
                <c:pt idx="0">
                  <c:v>0.88898472095606984</c:v>
                </c:pt>
                <c:pt idx="1">
                  <c:v>0.9155799077826059</c:v>
                </c:pt>
                <c:pt idx="2">
                  <c:v>0.87905093553749647</c:v>
                </c:pt>
              </c:numCache>
            </c:numRef>
          </c:val>
        </c:ser>
        <c:dLbls>
          <c:showLegendKey val="0"/>
          <c:showVal val="0"/>
          <c:showCatName val="0"/>
          <c:showSerName val="0"/>
          <c:showPercent val="0"/>
          <c:showBubbleSize val="0"/>
        </c:dLbls>
        <c:gapWidth val="74"/>
        <c:overlap val="-26"/>
        <c:axId val="71747072"/>
        <c:axId val="71745536"/>
      </c:barChart>
      <c:catAx>
        <c:axId val="71742208"/>
        <c:scaling>
          <c:orientation val="minMax"/>
        </c:scaling>
        <c:delete val="0"/>
        <c:axPos val="b"/>
        <c:numFmt formatCode="General" sourceLinked="0"/>
        <c:majorTickMark val="out"/>
        <c:minorTickMark val="none"/>
        <c:tickLblPos val="nextTo"/>
        <c:crossAx val="71743744"/>
        <c:crosses val="autoZero"/>
        <c:auto val="1"/>
        <c:lblAlgn val="ctr"/>
        <c:lblOffset val="100"/>
        <c:noMultiLvlLbl val="0"/>
      </c:catAx>
      <c:valAx>
        <c:axId val="71743744"/>
        <c:scaling>
          <c:orientation val="minMax"/>
        </c:scaling>
        <c:delete val="0"/>
        <c:axPos val="l"/>
        <c:majorGridlines>
          <c:spPr>
            <a:ln>
              <a:noFill/>
            </a:ln>
          </c:spPr>
        </c:majorGridlines>
        <c:numFmt formatCode="General" sourceLinked="1"/>
        <c:majorTickMark val="out"/>
        <c:minorTickMark val="none"/>
        <c:tickLblPos val="nextTo"/>
        <c:crossAx val="71742208"/>
        <c:crosses val="autoZero"/>
        <c:crossBetween val="between"/>
      </c:valAx>
      <c:valAx>
        <c:axId val="71745536"/>
        <c:scaling>
          <c:orientation val="minMax"/>
        </c:scaling>
        <c:delete val="0"/>
        <c:axPos val="r"/>
        <c:numFmt formatCode="General" sourceLinked="1"/>
        <c:majorTickMark val="out"/>
        <c:minorTickMark val="none"/>
        <c:tickLblPos val="nextTo"/>
        <c:crossAx val="71747072"/>
        <c:crosses val="max"/>
        <c:crossBetween val="between"/>
      </c:valAx>
      <c:catAx>
        <c:axId val="71747072"/>
        <c:scaling>
          <c:orientation val="minMax"/>
        </c:scaling>
        <c:delete val="1"/>
        <c:axPos val="b"/>
        <c:numFmt formatCode="General" sourceLinked="1"/>
        <c:majorTickMark val="out"/>
        <c:minorTickMark val="none"/>
        <c:tickLblPos val="nextTo"/>
        <c:crossAx val="71745536"/>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'SRA 92'!$G$3</c:f>
              <c:strCache>
                <c:ptCount val="1"/>
                <c:pt idx="0">
                  <c:v>E</c:v>
                </c:pt>
              </c:strCache>
            </c:strRef>
          </c:tx>
          <c:spPr>
            <a:solidFill>
              <a:srgbClr val="7030A0"/>
            </a:solidFill>
            <a:ln>
              <a:solidFill>
                <a:schemeClr val="tx1"/>
              </a:solidFill>
            </a:ln>
            <a:scene3d>
              <a:camera prst="orthographicFront"/>
              <a:lightRig rig="threePt" dir="t"/>
            </a:scene3d>
            <a:sp3d>
              <a:bevelT w="190500" h="38100"/>
            </a:sp3d>
          </c:spPr>
          <c:invertIfNegative val="0"/>
          <c:cat>
            <c:strRef>
              <c:f>'SRA 92'!$A$4:$A$6</c:f>
              <c:strCache>
                <c:ptCount val="3"/>
                <c:pt idx="0">
                  <c:v>LB</c:v>
                </c:pt>
                <c:pt idx="1">
                  <c:v>50%</c:v>
                </c:pt>
                <c:pt idx="2">
                  <c:v>CH</c:v>
                </c:pt>
              </c:strCache>
            </c:strRef>
          </c:cat>
          <c:val>
            <c:numRef>
              <c:f>'SRA 92'!$G$4:$G$6</c:f>
              <c:numCache>
                <c:formatCode>General</c:formatCode>
                <c:ptCount val="3"/>
                <c:pt idx="0">
                  <c:v>9.6</c:v>
                </c:pt>
                <c:pt idx="1">
                  <c:v>9.4</c:v>
                </c:pt>
                <c:pt idx="2">
                  <c:v>9.1999999999999993</c:v>
                </c:pt>
              </c:numCache>
            </c:numRef>
          </c:val>
        </c:ser>
        <c:ser>
          <c:idx val="1"/>
          <c:order val="1"/>
          <c:tx>
            <c:strRef>
              <c:f>'SRA 92'!$J$3</c:f>
              <c:strCache>
                <c:ptCount val="1"/>
                <c:pt idx="0">
                  <c:v>x</c:v>
                </c:pt>
              </c:strCache>
            </c:strRef>
          </c:tx>
          <c:invertIfNegative val="0"/>
          <c:cat>
            <c:strRef>
              <c:f>'SRA 92'!$A$4:$A$6</c:f>
              <c:strCache>
                <c:ptCount val="3"/>
                <c:pt idx="0">
                  <c:v>LB</c:v>
                </c:pt>
                <c:pt idx="1">
                  <c:v>50%</c:v>
                </c:pt>
                <c:pt idx="2">
                  <c:v>CH</c:v>
                </c:pt>
              </c:strCache>
            </c:strRef>
          </c:cat>
          <c:val>
            <c:numRef>
              <c:f>'SRA 92'!$J$4:$J$6</c:f>
              <c:numCache>
                <c:formatCode>General</c:formatCode>
                <c:ptCount val="3"/>
                <c:pt idx="0">
                  <c:v>0</c:v>
                </c:pt>
                <c:pt idx="1">
                  <c:v>0</c:v>
                </c:pt>
                <c:pt idx="2">
                  <c:v>0</c:v>
                </c:pt>
              </c:numCache>
            </c:numRef>
          </c:val>
        </c:ser>
        <c:dLbls>
          <c:showLegendKey val="0"/>
          <c:showVal val="0"/>
          <c:showCatName val="0"/>
          <c:showSerName val="0"/>
          <c:showPercent val="0"/>
          <c:showBubbleSize val="0"/>
        </c:dLbls>
        <c:gapWidth val="76"/>
        <c:overlap val="-26"/>
        <c:axId val="71820800"/>
        <c:axId val="71822336"/>
      </c:barChart>
      <c:barChart>
        <c:barDir val="col"/>
        <c:grouping val="clustered"/>
        <c:varyColors val="0"/>
        <c:ser>
          <c:idx val="2"/>
          <c:order val="2"/>
          <c:tx>
            <c:strRef>
              <c:f>'SRA 92'!$J$3</c:f>
              <c:strCache>
                <c:ptCount val="1"/>
                <c:pt idx="0">
                  <c:v>x</c:v>
                </c:pt>
              </c:strCache>
            </c:strRef>
          </c:tx>
          <c:invertIfNegative val="0"/>
          <c:cat>
            <c:strRef>
              <c:f>'SRA 92'!$A$4:$A$6</c:f>
              <c:strCache>
                <c:ptCount val="3"/>
                <c:pt idx="0">
                  <c:v>LB</c:v>
                </c:pt>
                <c:pt idx="1">
                  <c:v>50%</c:v>
                </c:pt>
                <c:pt idx="2">
                  <c:v>CH</c:v>
                </c:pt>
              </c:strCache>
            </c:strRef>
          </c:cat>
          <c:val>
            <c:numRef>
              <c:f>'SRA 92'!$J$4:$J$6</c:f>
              <c:numCache>
                <c:formatCode>General</c:formatCode>
                <c:ptCount val="3"/>
                <c:pt idx="0">
                  <c:v>0</c:v>
                </c:pt>
                <c:pt idx="1">
                  <c:v>0</c:v>
                </c:pt>
                <c:pt idx="2">
                  <c:v>0</c:v>
                </c:pt>
              </c:numCache>
            </c:numRef>
          </c:val>
        </c:ser>
        <c:ser>
          <c:idx val="3"/>
          <c:order val="3"/>
          <c:tx>
            <c:strRef>
              <c:f>'SRA 92'!$H$3</c:f>
              <c:strCache>
                <c:ptCount val="1"/>
                <c:pt idx="0">
                  <c:v>A</c:v>
                </c:pt>
              </c:strCache>
            </c:strRef>
          </c:tx>
          <c:spPr>
            <a:solidFill>
              <a:srgbClr val="92D050"/>
            </a:solidFill>
            <a:ln>
              <a:solidFill>
                <a:schemeClr val="tx1"/>
              </a:solidFill>
            </a:ln>
            <a:scene3d>
              <a:camera prst="orthographicFront"/>
              <a:lightRig rig="threePt" dir="t"/>
            </a:scene3d>
            <a:sp3d>
              <a:bevelT w="190500" h="38100"/>
            </a:sp3d>
          </c:spPr>
          <c:invertIfNegative val="0"/>
          <c:cat>
            <c:strRef>
              <c:f>'SRA 92'!$A$4:$A$6</c:f>
              <c:strCache>
                <c:ptCount val="3"/>
                <c:pt idx="0">
                  <c:v>LB</c:v>
                </c:pt>
                <c:pt idx="1">
                  <c:v>50%</c:v>
                </c:pt>
                <c:pt idx="2">
                  <c:v>CH</c:v>
                </c:pt>
              </c:strCache>
            </c:strRef>
          </c:cat>
          <c:val>
            <c:numRef>
              <c:f>'SRA 92'!$H$4:$H$6</c:f>
              <c:numCache>
                <c:formatCode>0.00</c:formatCode>
                <c:ptCount val="3"/>
                <c:pt idx="0">
                  <c:v>0.69761017152605587</c:v>
                </c:pt>
                <c:pt idx="1">
                  <c:v>0.68060364551479346</c:v>
                </c:pt>
                <c:pt idx="2">
                  <c:v>0.64688168573368399</c:v>
                </c:pt>
              </c:numCache>
            </c:numRef>
          </c:val>
        </c:ser>
        <c:dLbls>
          <c:showLegendKey val="0"/>
          <c:showVal val="0"/>
          <c:showCatName val="0"/>
          <c:showSerName val="0"/>
          <c:showPercent val="0"/>
          <c:showBubbleSize val="0"/>
        </c:dLbls>
        <c:gapWidth val="76"/>
        <c:overlap val="-24"/>
        <c:axId val="71825664"/>
        <c:axId val="71824128"/>
      </c:barChart>
      <c:catAx>
        <c:axId val="71820800"/>
        <c:scaling>
          <c:orientation val="minMax"/>
        </c:scaling>
        <c:delete val="0"/>
        <c:axPos val="b"/>
        <c:numFmt formatCode="General" sourceLinked="0"/>
        <c:majorTickMark val="out"/>
        <c:minorTickMark val="none"/>
        <c:tickLblPos val="nextTo"/>
        <c:crossAx val="71822336"/>
        <c:crosses val="autoZero"/>
        <c:auto val="1"/>
        <c:lblAlgn val="ctr"/>
        <c:lblOffset val="100"/>
        <c:noMultiLvlLbl val="0"/>
      </c:catAx>
      <c:valAx>
        <c:axId val="71822336"/>
        <c:scaling>
          <c:orientation val="minMax"/>
          <c:max val="12"/>
        </c:scaling>
        <c:delete val="0"/>
        <c:axPos val="l"/>
        <c:majorGridlines>
          <c:spPr>
            <a:ln>
              <a:noFill/>
            </a:ln>
          </c:spPr>
        </c:majorGridlines>
        <c:numFmt formatCode="General" sourceLinked="1"/>
        <c:majorTickMark val="out"/>
        <c:minorTickMark val="none"/>
        <c:tickLblPos val="nextTo"/>
        <c:crossAx val="71820800"/>
        <c:crosses val="autoZero"/>
        <c:crossBetween val="between"/>
      </c:valAx>
      <c:valAx>
        <c:axId val="71824128"/>
        <c:scaling>
          <c:orientation val="minMax"/>
        </c:scaling>
        <c:delete val="0"/>
        <c:axPos val="r"/>
        <c:numFmt formatCode="General" sourceLinked="1"/>
        <c:majorTickMark val="out"/>
        <c:minorTickMark val="none"/>
        <c:tickLblPos val="nextTo"/>
        <c:crossAx val="71825664"/>
        <c:crosses val="max"/>
        <c:crossBetween val="between"/>
      </c:valAx>
      <c:catAx>
        <c:axId val="71825664"/>
        <c:scaling>
          <c:orientation val="minMax"/>
        </c:scaling>
        <c:delete val="1"/>
        <c:axPos val="b"/>
        <c:numFmt formatCode="General" sourceLinked="1"/>
        <c:majorTickMark val="out"/>
        <c:minorTickMark val="none"/>
        <c:tickLblPos val="nextTo"/>
        <c:crossAx val="71824128"/>
        <c:crosses val="autoZero"/>
        <c:auto val="1"/>
        <c:lblAlgn val="ctr"/>
        <c:lblOffset val="100"/>
        <c:noMultiLvlLbl val="0"/>
      </c:cat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'SRA 85'!$D$1</c:f>
              <c:strCache>
                <c:ptCount val="1"/>
                <c:pt idx="0">
                  <c:v>Rendement/Ha</c:v>
                </c:pt>
              </c:strCache>
            </c:strRef>
          </c:tx>
          <c:spPr>
            <a:solidFill>
              <a:srgbClr val="002060"/>
            </a:solidFill>
            <a:ln>
              <a:solidFill>
                <a:sysClr val="windowText" lastClr="000000"/>
              </a:solidFill>
            </a:ln>
            <a:scene3d>
              <a:camera prst="orthographicFront"/>
              <a:lightRig rig="threePt" dir="t"/>
            </a:scene3d>
            <a:sp3d>
              <a:bevelT w="190500" h="38100"/>
            </a:sp3d>
          </c:spPr>
          <c:invertIfNegative val="0"/>
          <c:cat>
            <c:strRef>
              <c:f>'SRA 85'!$A$2:$A$4</c:f>
              <c:strCache>
                <c:ptCount val="3"/>
                <c:pt idx="0">
                  <c:v>LB</c:v>
                </c:pt>
                <c:pt idx="1">
                  <c:v>50%</c:v>
                </c:pt>
                <c:pt idx="2">
                  <c:v>CH</c:v>
                </c:pt>
              </c:strCache>
            </c:strRef>
          </c:cat>
          <c:val>
            <c:numRef>
              <c:f>'SRA 85'!$D$2:$D$4</c:f>
              <c:numCache>
                <c:formatCode>General</c:formatCode>
                <c:ptCount val="3"/>
                <c:pt idx="0">
                  <c:v>35.175400000000003</c:v>
                </c:pt>
                <c:pt idx="1">
                  <c:v>40.791400000000003</c:v>
                </c:pt>
                <c:pt idx="2">
                  <c:v>48.898174757281552</c:v>
                </c:pt>
              </c:numCache>
            </c:numRef>
          </c:val>
        </c:ser>
        <c:ser>
          <c:idx val="1"/>
          <c:order val="1"/>
          <c:tx>
            <c:strRef>
              <c:f>'SRA 85'!$G$1</c:f>
              <c:strCache>
                <c:ptCount val="1"/>
                <c:pt idx="0">
                  <c:v>x</c:v>
                </c:pt>
              </c:strCache>
            </c:strRef>
          </c:tx>
          <c:invertIfNegative val="0"/>
          <c:cat>
            <c:strRef>
              <c:f>'SRA 85'!$A$2:$A$4</c:f>
              <c:strCache>
                <c:ptCount val="3"/>
                <c:pt idx="0">
                  <c:v>LB</c:v>
                </c:pt>
                <c:pt idx="1">
                  <c:v>50%</c:v>
                </c:pt>
                <c:pt idx="2">
                  <c:v>CH</c:v>
                </c:pt>
              </c:strCache>
            </c:strRef>
          </c:cat>
          <c:val>
            <c:numRef>
              <c:f>'SRA 85'!$G$2:$G$4</c:f>
              <c:numCache>
                <c:formatCode>General</c:formatCode>
                <c:ptCount val="3"/>
                <c:pt idx="0">
                  <c:v>0</c:v>
                </c:pt>
                <c:pt idx="1">
                  <c:v>0</c:v>
                </c:pt>
                <c:pt idx="2">
                  <c:v>0</c:v>
                </c:pt>
              </c:numCache>
            </c:numRef>
          </c:val>
        </c:ser>
        <c:dLbls>
          <c:showLegendKey val="0"/>
          <c:showVal val="0"/>
          <c:showCatName val="0"/>
          <c:showSerName val="0"/>
          <c:showPercent val="0"/>
          <c:showBubbleSize val="0"/>
        </c:dLbls>
        <c:gapWidth val="75"/>
        <c:overlap val="-25"/>
        <c:axId val="77699328"/>
        <c:axId val="77701120"/>
      </c:barChart>
      <c:barChart>
        <c:barDir val="col"/>
        <c:grouping val="clustered"/>
        <c:varyColors val="0"/>
        <c:ser>
          <c:idx val="2"/>
          <c:order val="2"/>
          <c:tx>
            <c:strRef>
              <c:f>'SRA 85'!$G$1</c:f>
              <c:strCache>
                <c:ptCount val="1"/>
                <c:pt idx="0">
                  <c:v>x</c:v>
                </c:pt>
              </c:strCache>
            </c:strRef>
          </c:tx>
          <c:invertIfNegative val="0"/>
          <c:cat>
            <c:strRef>
              <c:f>'SRA 85'!$A$2:$A$4</c:f>
              <c:strCache>
                <c:ptCount val="3"/>
                <c:pt idx="0">
                  <c:v>LB</c:v>
                </c:pt>
                <c:pt idx="1">
                  <c:v>50%</c:v>
                </c:pt>
                <c:pt idx="2">
                  <c:v>CH</c:v>
                </c:pt>
              </c:strCache>
            </c:strRef>
          </c:cat>
          <c:val>
            <c:numRef>
              <c:f>'SRA 85'!$G$2:$G$4</c:f>
              <c:numCache>
                <c:formatCode>General</c:formatCode>
                <c:ptCount val="3"/>
                <c:pt idx="0">
                  <c:v>0</c:v>
                </c:pt>
                <c:pt idx="1">
                  <c:v>0</c:v>
                </c:pt>
                <c:pt idx="2">
                  <c:v>0</c:v>
                </c:pt>
              </c:numCache>
            </c:numRef>
          </c:val>
        </c:ser>
        <c:ser>
          <c:idx val="3"/>
          <c:order val="3"/>
          <c:tx>
            <c:strRef>
              <c:f>'SRA 85'!$F$1</c:f>
              <c:strCache>
                <c:ptCount val="1"/>
                <c:pt idx="0">
                  <c:v>Ecart kg/Ha</c:v>
                </c:pt>
              </c:strCache>
            </c:strRef>
          </c:tx>
          <c:spPr>
            <a:solidFill>
              <a:srgbClr val="C00000"/>
            </a:solidFill>
            <a:ln>
              <a:solidFill>
                <a:sysClr val="windowText" lastClr="000000"/>
              </a:solidFill>
            </a:ln>
            <a:scene3d>
              <a:camera prst="orthographicFront"/>
              <a:lightRig rig="threePt" dir="t"/>
            </a:scene3d>
            <a:sp3d>
              <a:bevelT w="190500" h="38100"/>
            </a:sp3d>
          </c:spPr>
          <c:invertIfNegative val="0"/>
          <c:cat>
            <c:strRef>
              <c:f>'SRA 85'!$A$2:$A$4</c:f>
              <c:strCache>
                <c:ptCount val="3"/>
                <c:pt idx="0">
                  <c:v>LB</c:v>
                </c:pt>
                <c:pt idx="1">
                  <c:v>50%</c:v>
                </c:pt>
                <c:pt idx="2">
                  <c:v>CH</c:v>
                </c:pt>
              </c:strCache>
            </c:strRef>
          </c:cat>
          <c:val>
            <c:numRef>
              <c:f>'SRA 85'!$F$2:$F$4</c:f>
              <c:numCache>
                <c:formatCode>General</c:formatCode>
                <c:ptCount val="3"/>
                <c:pt idx="0">
                  <c:v>2301.44</c:v>
                </c:pt>
                <c:pt idx="1">
                  <c:v>3176.08</c:v>
                </c:pt>
                <c:pt idx="2">
                  <c:v>4584</c:v>
                </c:pt>
              </c:numCache>
            </c:numRef>
          </c:val>
        </c:ser>
        <c:dLbls>
          <c:showLegendKey val="0"/>
          <c:showVal val="0"/>
          <c:showCatName val="0"/>
          <c:showSerName val="0"/>
          <c:showPercent val="0"/>
          <c:showBubbleSize val="0"/>
        </c:dLbls>
        <c:gapWidth val="75"/>
        <c:overlap val="-25"/>
        <c:axId val="77705216"/>
        <c:axId val="77703040"/>
      </c:barChart>
      <c:catAx>
        <c:axId val="77699328"/>
        <c:scaling>
          <c:orientation val="minMax"/>
        </c:scaling>
        <c:delete val="0"/>
        <c:axPos val="b"/>
        <c:numFmt formatCode="General" sourceLinked="0"/>
        <c:majorTickMark val="none"/>
        <c:minorTickMark val="none"/>
        <c:tickLblPos val="nextTo"/>
        <c:crossAx val="77701120"/>
        <c:crosses val="autoZero"/>
        <c:auto val="1"/>
        <c:lblAlgn val="ctr"/>
        <c:lblOffset val="100"/>
        <c:noMultiLvlLbl val="0"/>
      </c:catAx>
      <c:valAx>
        <c:axId val="77701120"/>
        <c:scaling>
          <c:orientation val="minMax"/>
        </c:scaling>
        <c:delete val="0"/>
        <c:axPos val="l"/>
        <c:majorGridlines>
          <c:spPr>
            <a:ln>
              <a:noFill/>
            </a:ln>
          </c:spPr>
        </c:majorGridlines>
        <c:title>
          <c:tx>
            <c:rich>
              <a:bodyPr rot="-5400000" vert="horz"/>
              <a:lstStyle/>
              <a:p>
                <a:pPr>
                  <a:defRPr/>
                </a:pPr>
                <a:r>
                  <a:rPr lang="en-US"/>
                  <a:t>Tonnes/Ha</a:t>
                </a:r>
              </a:p>
            </c:rich>
          </c:tx>
          <c:overlay val="0"/>
        </c:title>
        <c:numFmt formatCode="General" sourceLinked="1"/>
        <c:majorTickMark val="out"/>
        <c:minorTickMark val="none"/>
        <c:tickLblPos val="nextTo"/>
        <c:crossAx val="77699328"/>
        <c:crosses val="autoZero"/>
        <c:crossBetween val="between"/>
      </c:valAx>
      <c:valAx>
        <c:axId val="77703040"/>
        <c:scaling>
          <c:orientation val="minMax"/>
        </c:scaling>
        <c:delete val="0"/>
        <c:axPos val="r"/>
        <c:title>
          <c:tx>
            <c:rich>
              <a:bodyPr rot="-5400000" vert="horz"/>
              <a:lstStyle/>
              <a:p>
                <a:pPr>
                  <a:defRPr/>
                </a:pPr>
                <a:r>
                  <a:rPr lang="en-US"/>
                  <a:t>Kg/Ha</a:t>
                </a:r>
              </a:p>
            </c:rich>
          </c:tx>
          <c:overlay val="0"/>
        </c:title>
        <c:numFmt formatCode="General" sourceLinked="1"/>
        <c:majorTickMark val="out"/>
        <c:minorTickMark val="none"/>
        <c:tickLblPos val="nextTo"/>
        <c:crossAx val="77705216"/>
        <c:crosses val="max"/>
        <c:crossBetween val="between"/>
      </c:valAx>
      <c:catAx>
        <c:axId val="77705216"/>
        <c:scaling>
          <c:orientation val="minMax"/>
        </c:scaling>
        <c:delete val="1"/>
        <c:axPos val="b"/>
        <c:numFmt formatCode="General" sourceLinked="1"/>
        <c:majorTickMark val="out"/>
        <c:minorTickMark val="none"/>
        <c:tickLblPos val="nextTo"/>
        <c:crossAx val="77703040"/>
        <c:crosses val="autoZero"/>
        <c:auto val="1"/>
        <c:lblAlgn val="ctr"/>
        <c:lblOffset val="100"/>
        <c:noMultiLvlLbl val="0"/>
      </c:cat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Caffin!$D$1</c:f>
              <c:strCache>
                <c:ptCount val="1"/>
                <c:pt idx="0">
                  <c:v>Rendement T/Ha</c:v>
                </c:pt>
              </c:strCache>
            </c:strRef>
          </c:tx>
          <c:spPr>
            <a:solidFill>
              <a:srgbClr val="002060"/>
            </a:solidFill>
            <a:ln>
              <a:solidFill>
                <a:sysClr val="windowText" lastClr="000000"/>
              </a:solidFill>
            </a:ln>
            <a:scene3d>
              <a:camera prst="orthographicFront"/>
              <a:lightRig rig="threePt" dir="t"/>
            </a:scene3d>
            <a:sp3d>
              <a:bevelT w="190500" h="38100"/>
            </a:sp3d>
          </c:spPr>
          <c:invertIfNegative val="0"/>
          <c:cat>
            <c:strRef>
              <c:f>Caffin!$A$2:$A$4</c:f>
              <c:strCache>
                <c:ptCount val="3"/>
                <c:pt idx="0">
                  <c:v>LB</c:v>
                </c:pt>
                <c:pt idx="1">
                  <c:v>50%</c:v>
                </c:pt>
                <c:pt idx="2">
                  <c:v>CH</c:v>
                </c:pt>
              </c:strCache>
            </c:strRef>
          </c:cat>
          <c:val>
            <c:numRef>
              <c:f>Caffin!$D$2:$D$4</c:f>
              <c:numCache>
                <c:formatCode>General</c:formatCode>
                <c:ptCount val="3"/>
                <c:pt idx="0">
                  <c:v>27.464187234042555</c:v>
                </c:pt>
                <c:pt idx="1">
                  <c:v>32.940431034482764</c:v>
                </c:pt>
                <c:pt idx="2">
                  <c:v>40.241480427046262</c:v>
                </c:pt>
              </c:numCache>
            </c:numRef>
          </c:val>
        </c:ser>
        <c:ser>
          <c:idx val="1"/>
          <c:order val="1"/>
          <c:tx>
            <c:strRef>
              <c:f>Caffin!$G$1</c:f>
              <c:strCache>
                <c:ptCount val="1"/>
                <c:pt idx="0">
                  <c:v>x</c:v>
                </c:pt>
              </c:strCache>
            </c:strRef>
          </c:tx>
          <c:invertIfNegative val="0"/>
          <c:cat>
            <c:strRef>
              <c:f>Caffin!$A$2:$A$4</c:f>
              <c:strCache>
                <c:ptCount val="3"/>
                <c:pt idx="0">
                  <c:v>LB</c:v>
                </c:pt>
                <c:pt idx="1">
                  <c:v>50%</c:v>
                </c:pt>
                <c:pt idx="2">
                  <c:v>CH</c:v>
                </c:pt>
              </c:strCache>
            </c:strRef>
          </c:cat>
          <c:val>
            <c:numRef>
              <c:f>Caffin!$G$2:$G$4</c:f>
              <c:numCache>
                <c:formatCode>General</c:formatCode>
                <c:ptCount val="3"/>
                <c:pt idx="0">
                  <c:v>0</c:v>
                </c:pt>
                <c:pt idx="1">
                  <c:v>0</c:v>
                </c:pt>
                <c:pt idx="2">
                  <c:v>0</c:v>
                </c:pt>
              </c:numCache>
            </c:numRef>
          </c:val>
        </c:ser>
        <c:dLbls>
          <c:showLegendKey val="0"/>
          <c:showVal val="0"/>
          <c:showCatName val="0"/>
          <c:showSerName val="0"/>
          <c:showPercent val="0"/>
          <c:showBubbleSize val="0"/>
        </c:dLbls>
        <c:gapWidth val="75"/>
        <c:overlap val="-25"/>
        <c:axId val="71913472"/>
        <c:axId val="71915008"/>
      </c:barChart>
      <c:barChart>
        <c:barDir val="col"/>
        <c:grouping val="clustered"/>
        <c:varyColors val="0"/>
        <c:ser>
          <c:idx val="2"/>
          <c:order val="2"/>
          <c:tx>
            <c:strRef>
              <c:f>Caffin!$G$1</c:f>
              <c:strCache>
                <c:ptCount val="1"/>
                <c:pt idx="0">
                  <c:v>x</c:v>
                </c:pt>
              </c:strCache>
            </c:strRef>
          </c:tx>
          <c:invertIfNegative val="0"/>
          <c:cat>
            <c:strRef>
              <c:f>Caffin!$A$2:$A$4</c:f>
              <c:strCache>
                <c:ptCount val="3"/>
                <c:pt idx="0">
                  <c:v>LB</c:v>
                </c:pt>
                <c:pt idx="1">
                  <c:v>50%</c:v>
                </c:pt>
                <c:pt idx="2">
                  <c:v>CH</c:v>
                </c:pt>
              </c:strCache>
            </c:strRef>
          </c:cat>
          <c:val>
            <c:numRef>
              <c:f>Caffin!$G$2:$G$4</c:f>
              <c:numCache>
                <c:formatCode>General</c:formatCode>
                <c:ptCount val="3"/>
                <c:pt idx="0">
                  <c:v>0</c:v>
                </c:pt>
                <c:pt idx="1">
                  <c:v>0</c:v>
                </c:pt>
                <c:pt idx="2">
                  <c:v>0</c:v>
                </c:pt>
              </c:numCache>
            </c:numRef>
          </c:val>
        </c:ser>
        <c:ser>
          <c:idx val="3"/>
          <c:order val="3"/>
          <c:tx>
            <c:strRef>
              <c:f>Caffin!$F$1</c:f>
              <c:strCache>
                <c:ptCount val="1"/>
                <c:pt idx="0">
                  <c:v>Ecart kg/Ha</c:v>
                </c:pt>
              </c:strCache>
            </c:strRef>
          </c:tx>
          <c:spPr>
            <a:solidFill>
              <a:srgbClr val="C00000"/>
            </a:solidFill>
            <a:ln>
              <a:solidFill>
                <a:sysClr val="windowText" lastClr="000000"/>
              </a:solidFill>
            </a:ln>
            <a:scene3d>
              <a:camera prst="orthographicFront"/>
              <a:lightRig rig="threePt" dir="t"/>
            </a:scene3d>
            <a:sp3d>
              <a:bevelT w="190500" h="38100"/>
            </a:sp3d>
          </c:spPr>
          <c:invertIfNegative val="0"/>
          <c:cat>
            <c:strRef>
              <c:f>Caffin!$A$2:$A$4</c:f>
              <c:strCache>
                <c:ptCount val="3"/>
                <c:pt idx="0">
                  <c:v>LB</c:v>
                </c:pt>
                <c:pt idx="1">
                  <c:v>50%</c:v>
                </c:pt>
                <c:pt idx="2">
                  <c:v>CH</c:v>
                </c:pt>
              </c:strCache>
            </c:strRef>
          </c:cat>
          <c:val>
            <c:numRef>
              <c:f>Caffin!$F$2:$F$4</c:f>
              <c:numCache>
                <c:formatCode>General</c:formatCode>
                <c:ptCount val="3"/>
                <c:pt idx="0">
                  <c:v>2549.2799999999997</c:v>
                </c:pt>
                <c:pt idx="1">
                  <c:v>2829.5199999999995</c:v>
                </c:pt>
                <c:pt idx="2">
                  <c:v>1732.8000000000002</c:v>
                </c:pt>
              </c:numCache>
            </c:numRef>
          </c:val>
        </c:ser>
        <c:dLbls>
          <c:showLegendKey val="0"/>
          <c:showVal val="0"/>
          <c:showCatName val="0"/>
          <c:showSerName val="0"/>
          <c:showPercent val="0"/>
          <c:showBubbleSize val="0"/>
        </c:dLbls>
        <c:gapWidth val="75"/>
        <c:overlap val="-25"/>
        <c:axId val="71923200"/>
        <c:axId val="71916928"/>
      </c:barChart>
      <c:catAx>
        <c:axId val="71913472"/>
        <c:scaling>
          <c:orientation val="minMax"/>
        </c:scaling>
        <c:delete val="0"/>
        <c:axPos val="b"/>
        <c:numFmt formatCode="General" sourceLinked="0"/>
        <c:majorTickMark val="none"/>
        <c:minorTickMark val="none"/>
        <c:tickLblPos val="nextTo"/>
        <c:crossAx val="71915008"/>
        <c:crosses val="autoZero"/>
        <c:auto val="1"/>
        <c:lblAlgn val="ctr"/>
        <c:lblOffset val="100"/>
        <c:noMultiLvlLbl val="0"/>
      </c:catAx>
      <c:valAx>
        <c:axId val="71915008"/>
        <c:scaling>
          <c:orientation val="minMax"/>
        </c:scaling>
        <c:delete val="0"/>
        <c:axPos val="l"/>
        <c:majorGridlines>
          <c:spPr>
            <a:ln>
              <a:noFill/>
            </a:ln>
          </c:spPr>
        </c:majorGridlines>
        <c:title>
          <c:tx>
            <c:rich>
              <a:bodyPr rot="-5400000" vert="horz"/>
              <a:lstStyle/>
              <a:p>
                <a:pPr>
                  <a:defRPr/>
                </a:pPr>
                <a:r>
                  <a:rPr lang="fr-FR"/>
                  <a:t>Tonnes/Ha</a:t>
                </a:r>
              </a:p>
            </c:rich>
          </c:tx>
          <c:overlay val="0"/>
        </c:title>
        <c:numFmt formatCode="General" sourceLinked="1"/>
        <c:majorTickMark val="out"/>
        <c:minorTickMark val="none"/>
        <c:tickLblPos val="nextTo"/>
        <c:crossAx val="71913472"/>
        <c:crosses val="autoZero"/>
        <c:crossBetween val="between"/>
      </c:valAx>
      <c:valAx>
        <c:axId val="71916928"/>
        <c:scaling>
          <c:orientation val="minMax"/>
        </c:scaling>
        <c:delete val="0"/>
        <c:axPos val="r"/>
        <c:title>
          <c:tx>
            <c:rich>
              <a:bodyPr rot="-5400000" vert="horz"/>
              <a:lstStyle/>
              <a:p>
                <a:pPr>
                  <a:defRPr/>
                </a:pPr>
                <a:r>
                  <a:rPr lang="fr-FR"/>
                  <a:t>Kg/Ha</a:t>
                </a:r>
              </a:p>
            </c:rich>
          </c:tx>
          <c:overlay val="0"/>
        </c:title>
        <c:numFmt formatCode="General" sourceLinked="1"/>
        <c:majorTickMark val="out"/>
        <c:minorTickMark val="none"/>
        <c:tickLblPos val="nextTo"/>
        <c:crossAx val="71923200"/>
        <c:crosses val="max"/>
        <c:crossBetween val="between"/>
      </c:valAx>
      <c:catAx>
        <c:axId val="71923200"/>
        <c:scaling>
          <c:orientation val="minMax"/>
        </c:scaling>
        <c:delete val="1"/>
        <c:axPos val="b"/>
        <c:numFmt formatCode="General" sourceLinked="1"/>
        <c:majorTickMark val="out"/>
        <c:minorTickMark val="none"/>
        <c:tickLblPos val="nextTo"/>
        <c:crossAx val="71916928"/>
        <c:crosses val="autoZero"/>
        <c:auto val="1"/>
        <c:lblAlgn val="ctr"/>
        <c:lblOffset val="100"/>
        <c:noMultiLvlLbl val="0"/>
      </c:cat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'SRA 92'!$D$1</c:f>
              <c:strCache>
                <c:ptCount val="1"/>
                <c:pt idx="0">
                  <c:v>Rendement T/Ha</c:v>
                </c:pt>
              </c:strCache>
            </c:strRef>
          </c:tx>
          <c:spPr>
            <a:solidFill>
              <a:srgbClr val="002060"/>
            </a:solidFill>
            <a:ln>
              <a:solidFill>
                <a:sysClr val="windowText" lastClr="000000"/>
              </a:solidFill>
            </a:ln>
            <a:scene3d>
              <a:camera prst="orthographicFront"/>
              <a:lightRig rig="threePt" dir="t"/>
            </a:scene3d>
            <a:sp3d>
              <a:bevelT w="190500" h="38100"/>
            </a:sp3d>
          </c:spPr>
          <c:invertIfNegative val="0"/>
          <c:cat>
            <c:strRef>
              <c:f>'SRA 92'!$A$2:$A$4</c:f>
              <c:strCache>
                <c:ptCount val="3"/>
                <c:pt idx="0">
                  <c:v>LB</c:v>
                </c:pt>
                <c:pt idx="1">
                  <c:v>50%</c:v>
                </c:pt>
                <c:pt idx="2">
                  <c:v>CH</c:v>
                </c:pt>
              </c:strCache>
            </c:strRef>
          </c:cat>
          <c:val>
            <c:numRef>
              <c:f>'SRA 92'!$D$2:$D$4</c:f>
              <c:numCache>
                <c:formatCode>General</c:formatCode>
                <c:ptCount val="3"/>
                <c:pt idx="0">
                  <c:v>16.927238095238096</c:v>
                </c:pt>
                <c:pt idx="1">
                  <c:v>18.65066666666667</c:v>
                </c:pt>
                <c:pt idx="2">
                  <c:v>35.037104761904757</c:v>
                </c:pt>
              </c:numCache>
            </c:numRef>
          </c:val>
        </c:ser>
        <c:ser>
          <c:idx val="1"/>
          <c:order val="1"/>
          <c:tx>
            <c:strRef>
              <c:f>'SRA 92'!$G$1</c:f>
              <c:strCache>
                <c:ptCount val="1"/>
                <c:pt idx="0">
                  <c:v>x</c:v>
                </c:pt>
              </c:strCache>
            </c:strRef>
          </c:tx>
          <c:invertIfNegative val="0"/>
          <c:cat>
            <c:strRef>
              <c:f>'SRA 92'!$A$2:$A$4</c:f>
              <c:strCache>
                <c:ptCount val="3"/>
                <c:pt idx="0">
                  <c:v>LB</c:v>
                </c:pt>
                <c:pt idx="1">
                  <c:v>50%</c:v>
                </c:pt>
                <c:pt idx="2">
                  <c:v>CH</c:v>
                </c:pt>
              </c:strCache>
            </c:strRef>
          </c:cat>
          <c:val>
            <c:numRef>
              <c:f>'SRA 92'!$G$2:$G$4</c:f>
              <c:numCache>
                <c:formatCode>General</c:formatCode>
                <c:ptCount val="3"/>
                <c:pt idx="0">
                  <c:v>0</c:v>
                </c:pt>
                <c:pt idx="1">
                  <c:v>0</c:v>
                </c:pt>
                <c:pt idx="2">
                  <c:v>0</c:v>
                </c:pt>
              </c:numCache>
            </c:numRef>
          </c:val>
        </c:ser>
        <c:dLbls>
          <c:showLegendKey val="0"/>
          <c:showVal val="0"/>
          <c:showCatName val="0"/>
          <c:showSerName val="0"/>
          <c:showPercent val="0"/>
          <c:showBubbleSize val="0"/>
        </c:dLbls>
        <c:gapWidth val="75"/>
        <c:overlap val="-25"/>
        <c:axId val="77800960"/>
        <c:axId val="77802496"/>
      </c:barChart>
      <c:barChart>
        <c:barDir val="col"/>
        <c:grouping val="clustered"/>
        <c:varyColors val="0"/>
        <c:ser>
          <c:idx val="2"/>
          <c:order val="2"/>
          <c:tx>
            <c:strRef>
              <c:f>'SRA 92'!$G$1</c:f>
              <c:strCache>
                <c:ptCount val="1"/>
                <c:pt idx="0">
                  <c:v>x</c:v>
                </c:pt>
              </c:strCache>
            </c:strRef>
          </c:tx>
          <c:invertIfNegative val="0"/>
          <c:cat>
            <c:strRef>
              <c:f>'SRA 92'!$A$2:$A$4</c:f>
              <c:strCache>
                <c:ptCount val="3"/>
                <c:pt idx="0">
                  <c:v>LB</c:v>
                </c:pt>
                <c:pt idx="1">
                  <c:v>50%</c:v>
                </c:pt>
                <c:pt idx="2">
                  <c:v>CH</c:v>
                </c:pt>
              </c:strCache>
            </c:strRef>
          </c:cat>
          <c:val>
            <c:numRef>
              <c:f>'SRA 92'!$G$2:$G$4</c:f>
              <c:numCache>
                <c:formatCode>General</c:formatCode>
                <c:ptCount val="3"/>
                <c:pt idx="0">
                  <c:v>0</c:v>
                </c:pt>
                <c:pt idx="1">
                  <c:v>0</c:v>
                </c:pt>
                <c:pt idx="2">
                  <c:v>0</c:v>
                </c:pt>
              </c:numCache>
            </c:numRef>
          </c:val>
        </c:ser>
        <c:ser>
          <c:idx val="3"/>
          <c:order val="3"/>
          <c:tx>
            <c:strRef>
              <c:f>'SRA 92'!$F$1</c:f>
              <c:strCache>
                <c:ptCount val="1"/>
                <c:pt idx="0">
                  <c:v>Ecart kg/Ha</c:v>
                </c:pt>
              </c:strCache>
            </c:strRef>
          </c:tx>
          <c:spPr>
            <a:solidFill>
              <a:srgbClr val="C00000"/>
            </a:solidFill>
            <a:ln>
              <a:solidFill>
                <a:sysClr val="windowText" lastClr="000000"/>
              </a:solidFill>
            </a:ln>
            <a:scene3d>
              <a:camera prst="orthographicFront"/>
              <a:lightRig rig="threePt" dir="t"/>
            </a:scene3d>
            <a:sp3d>
              <a:bevelT w="190500" h="38100"/>
            </a:sp3d>
          </c:spPr>
          <c:invertIfNegative val="0"/>
          <c:cat>
            <c:strRef>
              <c:f>'SRA 92'!$A$2:$A$4</c:f>
              <c:strCache>
                <c:ptCount val="3"/>
                <c:pt idx="0">
                  <c:v>LB</c:v>
                </c:pt>
                <c:pt idx="1">
                  <c:v>50%</c:v>
                </c:pt>
                <c:pt idx="2">
                  <c:v>CH</c:v>
                </c:pt>
              </c:strCache>
            </c:strRef>
          </c:cat>
          <c:val>
            <c:numRef>
              <c:f>'SRA 92'!$F$2:$F$4</c:f>
              <c:numCache>
                <c:formatCode>General</c:formatCode>
                <c:ptCount val="3"/>
                <c:pt idx="0">
                  <c:v>720</c:v>
                </c:pt>
                <c:pt idx="1">
                  <c:v>934</c:v>
                </c:pt>
                <c:pt idx="2">
                  <c:v>1640</c:v>
                </c:pt>
              </c:numCache>
            </c:numRef>
          </c:val>
        </c:ser>
        <c:dLbls>
          <c:showLegendKey val="0"/>
          <c:showVal val="0"/>
          <c:showCatName val="0"/>
          <c:showSerName val="0"/>
          <c:showPercent val="0"/>
          <c:showBubbleSize val="0"/>
        </c:dLbls>
        <c:gapWidth val="75"/>
        <c:overlap val="-25"/>
        <c:axId val="77814784"/>
        <c:axId val="77812864"/>
      </c:barChart>
      <c:catAx>
        <c:axId val="77800960"/>
        <c:scaling>
          <c:orientation val="minMax"/>
        </c:scaling>
        <c:delete val="0"/>
        <c:axPos val="b"/>
        <c:numFmt formatCode="General" sourceLinked="0"/>
        <c:majorTickMark val="none"/>
        <c:minorTickMark val="none"/>
        <c:tickLblPos val="nextTo"/>
        <c:crossAx val="77802496"/>
        <c:crosses val="autoZero"/>
        <c:auto val="1"/>
        <c:lblAlgn val="ctr"/>
        <c:lblOffset val="100"/>
        <c:noMultiLvlLbl val="0"/>
      </c:catAx>
      <c:valAx>
        <c:axId val="77802496"/>
        <c:scaling>
          <c:orientation val="minMax"/>
        </c:scaling>
        <c:delete val="0"/>
        <c:axPos val="l"/>
        <c:majorGridlines>
          <c:spPr>
            <a:ln>
              <a:noFill/>
            </a:ln>
          </c:spPr>
        </c:majorGridlines>
        <c:title>
          <c:tx>
            <c:rich>
              <a:bodyPr rot="-5400000" vert="horz"/>
              <a:lstStyle/>
              <a:p>
                <a:pPr>
                  <a:defRPr/>
                </a:pPr>
                <a:r>
                  <a:rPr lang="en-US"/>
                  <a:t>Tonnes/Ha</a:t>
                </a:r>
              </a:p>
            </c:rich>
          </c:tx>
          <c:overlay val="0"/>
        </c:title>
        <c:numFmt formatCode="General" sourceLinked="1"/>
        <c:majorTickMark val="out"/>
        <c:minorTickMark val="none"/>
        <c:tickLblPos val="nextTo"/>
        <c:crossAx val="77800960"/>
        <c:crosses val="autoZero"/>
        <c:crossBetween val="between"/>
      </c:valAx>
      <c:valAx>
        <c:axId val="77812864"/>
        <c:scaling>
          <c:orientation val="minMax"/>
        </c:scaling>
        <c:delete val="0"/>
        <c:axPos val="r"/>
        <c:title>
          <c:tx>
            <c:rich>
              <a:bodyPr rot="-5400000" vert="horz"/>
              <a:lstStyle/>
              <a:p>
                <a:pPr>
                  <a:defRPr/>
                </a:pPr>
                <a:r>
                  <a:rPr lang="en-US"/>
                  <a:t>Kg/ha</a:t>
                </a:r>
              </a:p>
            </c:rich>
          </c:tx>
          <c:overlay val="0"/>
        </c:title>
        <c:numFmt formatCode="General" sourceLinked="1"/>
        <c:majorTickMark val="out"/>
        <c:minorTickMark val="none"/>
        <c:tickLblPos val="nextTo"/>
        <c:crossAx val="77814784"/>
        <c:crosses val="max"/>
        <c:crossBetween val="between"/>
      </c:valAx>
      <c:catAx>
        <c:axId val="77814784"/>
        <c:scaling>
          <c:orientation val="minMax"/>
        </c:scaling>
        <c:delete val="1"/>
        <c:axPos val="b"/>
        <c:numFmt formatCode="General" sourceLinked="1"/>
        <c:majorTickMark val="out"/>
        <c:minorTickMark val="none"/>
        <c:tickLblPos val="nextTo"/>
        <c:crossAx val="77812864"/>
        <c:crosses val="autoZero"/>
        <c:auto val="1"/>
        <c:lblAlgn val="ctr"/>
        <c:lblOffset val="100"/>
        <c:noMultiLvlLbl val="0"/>
      </c:catAx>
    </c:plotArea>
    <c:legend>
      <c:legendPos val="b"/>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Feuil1!$A$27</c:f>
              <c:strCache>
                <c:ptCount val="1"/>
                <c:pt idx="0">
                  <c:v>Juin</c:v>
                </c:pt>
              </c:strCache>
            </c:strRef>
          </c:tx>
          <c:spPr>
            <a:ln>
              <a:solidFill>
                <a:sysClr val="windowText" lastClr="000000"/>
              </a:solidFill>
            </a:ln>
            <a:scene3d>
              <a:camera prst="orthographicFront"/>
              <a:lightRig rig="threePt" dir="t"/>
            </a:scene3d>
            <a:sp3d>
              <a:bevelT w="190500" h="38100"/>
            </a:sp3d>
          </c:spPr>
          <c:invertIfNegative val="0"/>
          <c:cat>
            <c:strRef>
              <c:f>Feuil1!$B$26:$D$26</c:f>
              <c:strCache>
                <c:ptCount val="3"/>
                <c:pt idx="0">
                  <c:v>LB</c:v>
                </c:pt>
                <c:pt idx="1">
                  <c:v>50%</c:v>
                </c:pt>
                <c:pt idx="2">
                  <c:v>CH</c:v>
                </c:pt>
              </c:strCache>
            </c:strRef>
          </c:cat>
          <c:val>
            <c:numRef>
              <c:f>Feuil1!$B$27:$D$27</c:f>
              <c:numCache>
                <c:formatCode>General</c:formatCode>
                <c:ptCount val="3"/>
                <c:pt idx="0">
                  <c:v>0</c:v>
                </c:pt>
                <c:pt idx="1">
                  <c:v>0</c:v>
                </c:pt>
                <c:pt idx="2">
                  <c:v>0</c:v>
                </c:pt>
              </c:numCache>
            </c:numRef>
          </c:val>
        </c:ser>
        <c:ser>
          <c:idx val="1"/>
          <c:order val="1"/>
          <c:tx>
            <c:strRef>
              <c:f>Feuil1!$A$28</c:f>
              <c:strCache>
                <c:ptCount val="1"/>
                <c:pt idx="0">
                  <c:v>Juillet</c:v>
                </c:pt>
              </c:strCache>
            </c:strRef>
          </c:tx>
          <c:spPr>
            <a:ln>
              <a:solidFill>
                <a:sysClr val="windowText" lastClr="000000"/>
              </a:solidFill>
            </a:ln>
            <a:scene3d>
              <a:camera prst="orthographicFront"/>
              <a:lightRig rig="threePt" dir="t"/>
            </a:scene3d>
            <a:sp3d>
              <a:bevelT w="190500" h="38100"/>
            </a:sp3d>
          </c:spPr>
          <c:invertIfNegative val="0"/>
          <c:cat>
            <c:strRef>
              <c:f>Feuil1!$B$26:$D$26</c:f>
              <c:strCache>
                <c:ptCount val="3"/>
                <c:pt idx="0">
                  <c:v>LB</c:v>
                </c:pt>
                <c:pt idx="1">
                  <c:v>50%</c:v>
                </c:pt>
                <c:pt idx="2">
                  <c:v>CH</c:v>
                </c:pt>
              </c:strCache>
            </c:strRef>
          </c:cat>
          <c:val>
            <c:numRef>
              <c:f>Feuil1!$B$28:$D$28</c:f>
              <c:numCache>
                <c:formatCode>General</c:formatCode>
                <c:ptCount val="3"/>
                <c:pt idx="0">
                  <c:v>4</c:v>
                </c:pt>
                <c:pt idx="1">
                  <c:v>2</c:v>
                </c:pt>
                <c:pt idx="2">
                  <c:v>0</c:v>
                </c:pt>
              </c:numCache>
            </c:numRef>
          </c:val>
        </c:ser>
        <c:ser>
          <c:idx val="2"/>
          <c:order val="2"/>
          <c:tx>
            <c:strRef>
              <c:f>Feuil1!$A$29</c:f>
              <c:strCache>
                <c:ptCount val="1"/>
                <c:pt idx="0">
                  <c:v>Août</c:v>
                </c:pt>
              </c:strCache>
            </c:strRef>
          </c:tx>
          <c:spPr>
            <a:ln>
              <a:solidFill>
                <a:sysClr val="windowText" lastClr="000000"/>
              </a:solidFill>
            </a:ln>
            <a:scene3d>
              <a:camera prst="orthographicFront"/>
              <a:lightRig rig="threePt" dir="t"/>
            </a:scene3d>
            <a:sp3d>
              <a:bevelT w="190500" h="38100"/>
            </a:sp3d>
          </c:spPr>
          <c:invertIfNegative val="0"/>
          <c:cat>
            <c:strRef>
              <c:f>Feuil1!$B$26:$D$26</c:f>
              <c:strCache>
                <c:ptCount val="3"/>
                <c:pt idx="0">
                  <c:v>LB</c:v>
                </c:pt>
                <c:pt idx="1">
                  <c:v>50%</c:v>
                </c:pt>
                <c:pt idx="2">
                  <c:v>CH</c:v>
                </c:pt>
              </c:strCache>
            </c:strRef>
          </c:cat>
          <c:val>
            <c:numRef>
              <c:f>Feuil1!$B$29:$D$29</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79234176"/>
        <c:axId val="79235712"/>
      </c:barChart>
      <c:catAx>
        <c:axId val="79234176"/>
        <c:scaling>
          <c:orientation val="minMax"/>
        </c:scaling>
        <c:delete val="0"/>
        <c:axPos val="b"/>
        <c:numFmt formatCode="General" sourceLinked="0"/>
        <c:majorTickMark val="out"/>
        <c:minorTickMark val="none"/>
        <c:tickLblPos val="nextTo"/>
        <c:crossAx val="79235712"/>
        <c:crosses val="autoZero"/>
        <c:auto val="1"/>
        <c:lblAlgn val="ctr"/>
        <c:lblOffset val="100"/>
        <c:noMultiLvlLbl val="0"/>
      </c:catAx>
      <c:valAx>
        <c:axId val="79235712"/>
        <c:scaling>
          <c:orientation val="minMax"/>
        </c:scaling>
        <c:delete val="0"/>
        <c:axPos val="l"/>
        <c:majorGridlines>
          <c:spPr>
            <a:ln>
              <a:noFill/>
            </a:ln>
          </c:spPr>
        </c:majorGridlines>
        <c:numFmt formatCode="General" sourceLinked="1"/>
        <c:majorTickMark val="out"/>
        <c:minorTickMark val="none"/>
        <c:tickLblPos val="nextTo"/>
        <c:crossAx val="7923417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Feuil1!$A$28</c:f>
              <c:strCache>
                <c:ptCount val="1"/>
                <c:pt idx="0">
                  <c:v>Juin</c:v>
                </c:pt>
              </c:strCache>
            </c:strRef>
          </c:tx>
          <c:spPr>
            <a:ln>
              <a:solidFill>
                <a:sysClr val="windowText" lastClr="000000"/>
              </a:solidFill>
            </a:ln>
            <a:scene3d>
              <a:camera prst="orthographicFront"/>
              <a:lightRig rig="threePt" dir="t"/>
            </a:scene3d>
            <a:sp3d>
              <a:bevelT w="190500" h="38100"/>
            </a:sp3d>
          </c:spPr>
          <c:invertIfNegative val="0"/>
          <c:cat>
            <c:strRef>
              <c:f>Feuil1!$J$27:$L$27</c:f>
              <c:strCache>
                <c:ptCount val="3"/>
                <c:pt idx="0">
                  <c:v>LB</c:v>
                </c:pt>
                <c:pt idx="1">
                  <c:v>50%</c:v>
                </c:pt>
                <c:pt idx="2">
                  <c:v>CH</c:v>
                </c:pt>
              </c:strCache>
            </c:strRef>
          </c:cat>
          <c:val>
            <c:numRef>
              <c:f>Feuil1!$J$28:$L$28</c:f>
              <c:numCache>
                <c:formatCode>General</c:formatCode>
                <c:ptCount val="3"/>
                <c:pt idx="0">
                  <c:v>0</c:v>
                </c:pt>
                <c:pt idx="1">
                  <c:v>0</c:v>
                </c:pt>
                <c:pt idx="2">
                  <c:v>0</c:v>
                </c:pt>
              </c:numCache>
            </c:numRef>
          </c:val>
        </c:ser>
        <c:ser>
          <c:idx val="1"/>
          <c:order val="1"/>
          <c:tx>
            <c:strRef>
              <c:f>Feuil1!$A$29</c:f>
              <c:strCache>
                <c:ptCount val="1"/>
                <c:pt idx="0">
                  <c:v>Juillet</c:v>
                </c:pt>
              </c:strCache>
            </c:strRef>
          </c:tx>
          <c:spPr>
            <a:ln>
              <a:solidFill>
                <a:sysClr val="windowText" lastClr="000000"/>
              </a:solidFill>
            </a:ln>
            <a:scene3d>
              <a:camera prst="orthographicFront"/>
              <a:lightRig rig="threePt" dir="t"/>
            </a:scene3d>
            <a:sp3d>
              <a:bevelT w="139700" h="139700"/>
            </a:sp3d>
          </c:spPr>
          <c:invertIfNegative val="0"/>
          <c:cat>
            <c:strRef>
              <c:f>Feuil1!$J$27:$L$27</c:f>
              <c:strCache>
                <c:ptCount val="3"/>
                <c:pt idx="0">
                  <c:v>LB</c:v>
                </c:pt>
                <c:pt idx="1">
                  <c:v>50%</c:v>
                </c:pt>
                <c:pt idx="2">
                  <c:v>CH</c:v>
                </c:pt>
              </c:strCache>
            </c:strRef>
          </c:cat>
          <c:val>
            <c:numRef>
              <c:f>Feuil1!$J$29:$L$29</c:f>
              <c:numCache>
                <c:formatCode>General</c:formatCode>
                <c:ptCount val="3"/>
                <c:pt idx="0">
                  <c:v>1</c:v>
                </c:pt>
                <c:pt idx="1">
                  <c:v>1</c:v>
                </c:pt>
                <c:pt idx="2">
                  <c:v>0</c:v>
                </c:pt>
              </c:numCache>
            </c:numRef>
          </c:val>
        </c:ser>
        <c:ser>
          <c:idx val="2"/>
          <c:order val="2"/>
          <c:tx>
            <c:strRef>
              <c:f>Feuil1!$A$30</c:f>
              <c:strCache>
                <c:ptCount val="1"/>
                <c:pt idx="0">
                  <c:v>Août</c:v>
                </c:pt>
              </c:strCache>
            </c:strRef>
          </c:tx>
          <c:spPr>
            <a:ln>
              <a:solidFill>
                <a:sysClr val="windowText" lastClr="000000"/>
              </a:solidFill>
            </a:ln>
            <a:scene3d>
              <a:camera prst="orthographicFront"/>
              <a:lightRig rig="threePt" dir="t"/>
            </a:scene3d>
            <a:sp3d>
              <a:bevelT w="190500" h="38100"/>
            </a:sp3d>
          </c:spPr>
          <c:invertIfNegative val="0"/>
          <c:cat>
            <c:strRef>
              <c:f>Feuil1!$J$27:$L$27</c:f>
              <c:strCache>
                <c:ptCount val="3"/>
                <c:pt idx="0">
                  <c:v>LB</c:v>
                </c:pt>
                <c:pt idx="1">
                  <c:v>50%</c:v>
                </c:pt>
                <c:pt idx="2">
                  <c:v>CH</c:v>
                </c:pt>
              </c:strCache>
            </c:strRef>
          </c:cat>
          <c:val>
            <c:numRef>
              <c:f>Feuil1!$J$30:$L$30</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79298944"/>
        <c:axId val="79300480"/>
      </c:barChart>
      <c:catAx>
        <c:axId val="79298944"/>
        <c:scaling>
          <c:orientation val="minMax"/>
        </c:scaling>
        <c:delete val="0"/>
        <c:axPos val="b"/>
        <c:numFmt formatCode="General" sourceLinked="1"/>
        <c:majorTickMark val="out"/>
        <c:minorTickMark val="none"/>
        <c:tickLblPos val="nextTo"/>
        <c:crossAx val="79300480"/>
        <c:crosses val="autoZero"/>
        <c:auto val="1"/>
        <c:lblAlgn val="ctr"/>
        <c:lblOffset val="100"/>
        <c:noMultiLvlLbl val="0"/>
      </c:catAx>
      <c:valAx>
        <c:axId val="79300480"/>
        <c:scaling>
          <c:orientation val="minMax"/>
        </c:scaling>
        <c:delete val="0"/>
        <c:axPos val="l"/>
        <c:majorGridlines>
          <c:spPr>
            <a:ln>
              <a:noFill/>
            </a:ln>
          </c:spPr>
        </c:majorGridlines>
        <c:numFmt formatCode="General" sourceLinked="1"/>
        <c:majorTickMark val="out"/>
        <c:minorTickMark val="none"/>
        <c:tickLblPos val="nextTo"/>
        <c:crossAx val="792989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3FF0E-ED62-48A7-845B-4BFD4CF5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10974</Words>
  <Characters>60359</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ACTA</Company>
  <LinksUpToDate>false</LinksUpToDate>
  <CharactersWithSpaces>71191</CharactersWithSpaces>
  <SharedDoc>false</SharedDoc>
  <HLinks>
    <vt:vector size="114" baseType="variant">
      <vt:variant>
        <vt:i4>6553614</vt:i4>
      </vt:variant>
      <vt:variant>
        <vt:i4>117</vt:i4>
      </vt:variant>
      <vt:variant>
        <vt:i4>0</vt:i4>
      </vt:variant>
      <vt:variant>
        <vt:i4>5</vt:i4>
      </vt:variant>
      <vt:variant>
        <vt:lpwstr>http://www.vignevin-epicure.com/index.php/fre/module_optidose/optidose</vt:lpwstr>
      </vt:variant>
      <vt:variant>
        <vt:lpwstr/>
      </vt:variant>
      <vt:variant>
        <vt:i4>1572926</vt:i4>
      </vt:variant>
      <vt:variant>
        <vt:i4>104</vt:i4>
      </vt:variant>
      <vt:variant>
        <vt:i4>0</vt:i4>
      </vt:variant>
      <vt:variant>
        <vt:i4>5</vt:i4>
      </vt:variant>
      <vt:variant>
        <vt:lpwstr/>
      </vt:variant>
      <vt:variant>
        <vt:lpwstr>_Toc380999471</vt:lpwstr>
      </vt:variant>
      <vt:variant>
        <vt:i4>1572926</vt:i4>
      </vt:variant>
      <vt:variant>
        <vt:i4>98</vt:i4>
      </vt:variant>
      <vt:variant>
        <vt:i4>0</vt:i4>
      </vt:variant>
      <vt:variant>
        <vt:i4>5</vt:i4>
      </vt:variant>
      <vt:variant>
        <vt:lpwstr/>
      </vt:variant>
      <vt:variant>
        <vt:lpwstr>_Toc380999470</vt:lpwstr>
      </vt:variant>
      <vt:variant>
        <vt:i4>1638462</vt:i4>
      </vt:variant>
      <vt:variant>
        <vt:i4>92</vt:i4>
      </vt:variant>
      <vt:variant>
        <vt:i4>0</vt:i4>
      </vt:variant>
      <vt:variant>
        <vt:i4>5</vt:i4>
      </vt:variant>
      <vt:variant>
        <vt:lpwstr/>
      </vt:variant>
      <vt:variant>
        <vt:lpwstr>_Toc380999469</vt:lpwstr>
      </vt:variant>
      <vt:variant>
        <vt:i4>1638462</vt:i4>
      </vt:variant>
      <vt:variant>
        <vt:i4>86</vt:i4>
      </vt:variant>
      <vt:variant>
        <vt:i4>0</vt:i4>
      </vt:variant>
      <vt:variant>
        <vt:i4>5</vt:i4>
      </vt:variant>
      <vt:variant>
        <vt:lpwstr/>
      </vt:variant>
      <vt:variant>
        <vt:lpwstr>_Toc380999468</vt:lpwstr>
      </vt:variant>
      <vt:variant>
        <vt:i4>1638462</vt:i4>
      </vt:variant>
      <vt:variant>
        <vt:i4>80</vt:i4>
      </vt:variant>
      <vt:variant>
        <vt:i4>0</vt:i4>
      </vt:variant>
      <vt:variant>
        <vt:i4>5</vt:i4>
      </vt:variant>
      <vt:variant>
        <vt:lpwstr/>
      </vt:variant>
      <vt:variant>
        <vt:lpwstr>_Toc380999467</vt:lpwstr>
      </vt:variant>
      <vt:variant>
        <vt:i4>1638462</vt:i4>
      </vt:variant>
      <vt:variant>
        <vt:i4>74</vt:i4>
      </vt:variant>
      <vt:variant>
        <vt:i4>0</vt:i4>
      </vt:variant>
      <vt:variant>
        <vt:i4>5</vt:i4>
      </vt:variant>
      <vt:variant>
        <vt:lpwstr/>
      </vt:variant>
      <vt:variant>
        <vt:lpwstr>_Toc380999466</vt:lpwstr>
      </vt:variant>
      <vt:variant>
        <vt:i4>1638462</vt:i4>
      </vt:variant>
      <vt:variant>
        <vt:i4>68</vt:i4>
      </vt:variant>
      <vt:variant>
        <vt:i4>0</vt:i4>
      </vt:variant>
      <vt:variant>
        <vt:i4>5</vt:i4>
      </vt:variant>
      <vt:variant>
        <vt:lpwstr/>
      </vt:variant>
      <vt:variant>
        <vt:lpwstr>_Toc380999465</vt:lpwstr>
      </vt:variant>
      <vt:variant>
        <vt:i4>1638462</vt:i4>
      </vt:variant>
      <vt:variant>
        <vt:i4>62</vt:i4>
      </vt:variant>
      <vt:variant>
        <vt:i4>0</vt:i4>
      </vt:variant>
      <vt:variant>
        <vt:i4>5</vt:i4>
      </vt:variant>
      <vt:variant>
        <vt:lpwstr/>
      </vt:variant>
      <vt:variant>
        <vt:lpwstr>_Toc380999464</vt:lpwstr>
      </vt:variant>
      <vt:variant>
        <vt:i4>1638462</vt:i4>
      </vt:variant>
      <vt:variant>
        <vt:i4>56</vt:i4>
      </vt:variant>
      <vt:variant>
        <vt:i4>0</vt:i4>
      </vt:variant>
      <vt:variant>
        <vt:i4>5</vt:i4>
      </vt:variant>
      <vt:variant>
        <vt:lpwstr/>
      </vt:variant>
      <vt:variant>
        <vt:lpwstr>_Toc380999463</vt:lpwstr>
      </vt:variant>
      <vt:variant>
        <vt:i4>1638462</vt:i4>
      </vt:variant>
      <vt:variant>
        <vt:i4>50</vt:i4>
      </vt:variant>
      <vt:variant>
        <vt:i4>0</vt:i4>
      </vt:variant>
      <vt:variant>
        <vt:i4>5</vt:i4>
      </vt:variant>
      <vt:variant>
        <vt:lpwstr/>
      </vt:variant>
      <vt:variant>
        <vt:lpwstr>_Toc380999462</vt:lpwstr>
      </vt:variant>
      <vt:variant>
        <vt:i4>1638462</vt:i4>
      </vt:variant>
      <vt:variant>
        <vt:i4>44</vt:i4>
      </vt:variant>
      <vt:variant>
        <vt:i4>0</vt:i4>
      </vt:variant>
      <vt:variant>
        <vt:i4>5</vt:i4>
      </vt:variant>
      <vt:variant>
        <vt:lpwstr/>
      </vt:variant>
      <vt:variant>
        <vt:lpwstr>_Toc380999461</vt:lpwstr>
      </vt:variant>
      <vt:variant>
        <vt:i4>1638462</vt:i4>
      </vt:variant>
      <vt:variant>
        <vt:i4>38</vt:i4>
      </vt:variant>
      <vt:variant>
        <vt:i4>0</vt:i4>
      </vt:variant>
      <vt:variant>
        <vt:i4>5</vt:i4>
      </vt:variant>
      <vt:variant>
        <vt:lpwstr/>
      </vt:variant>
      <vt:variant>
        <vt:lpwstr>_Toc380999460</vt:lpwstr>
      </vt:variant>
      <vt:variant>
        <vt:i4>1703998</vt:i4>
      </vt:variant>
      <vt:variant>
        <vt:i4>32</vt:i4>
      </vt:variant>
      <vt:variant>
        <vt:i4>0</vt:i4>
      </vt:variant>
      <vt:variant>
        <vt:i4>5</vt:i4>
      </vt:variant>
      <vt:variant>
        <vt:lpwstr/>
      </vt:variant>
      <vt:variant>
        <vt:lpwstr>_Toc380999459</vt:lpwstr>
      </vt:variant>
      <vt:variant>
        <vt:i4>1703998</vt:i4>
      </vt:variant>
      <vt:variant>
        <vt:i4>26</vt:i4>
      </vt:variant>
      <vt:variant>
        <vt:i4>0</vt:i4>
      </vt:variant>
      <vt:variant>
        <vt:i4>5</vt:i4>
      </vt:variant>
      <vt:variant>
        <vt:lpwstr/>
      </vt:variant>
      <vt:variant>
        <vt:lpwstr>_Toc380999458</vt:lpwstr>
      </vt:variant>
      <vt:variant>
        <vt:i4>1703998</vt:i4>
      </vt:variant>
      <vt:variant>
        <vt:i4>20</vt:i4>
      </vt:variant>
      <vt:variant>
        <vt:i4>0</vt:i4>
      </vt:variant>
      <vt:variant>
        <vt:i4>5</vt:i4>
      </vt:variant>
      <vt:variant>
        <vt:lpwstr/>
      </vt:variant>
      <vt:variant>
        <vt:lpwstr>_Toc380999457</vt:lpwstr>
      </vt:variant>
      <vt:variant>
        <vt:i4>1703998</vt:i4>
      </vt:variant>
      <vt:variant>
        <vt:i4>14</vt:i4>
      </vt:variant>
      <vt:variant>
        <vt:i4>0</vt:i4>
      </vt:variant>
      <vt:variant>
        <vt:i4>5</vt:i4>
      </vt:variant>
      <vt:variant>
        <vt:lpwstr/>
      </vt:variant>
      <vt:variant>
        <vt:lpwstr>_Toc380999456</vt:lpwstr>
      </vt:variant>
      <vt:variant>
        <vt:i4>1703998</vt:i4>
      </vt:variant>
      <vt:variant>
        <vt:i4>8</vt:i4>
      </vt:variant>
      <vt:variant>
        <vt:i4>0</vt:i4>
      </vt:variant>
      <vt:variant>
        <vt:i4>5</vt:i4>
      </vt:variant>
      <vt:variant>
        <vt:lpwstr/>
      </vt:variant>
      <vt:variant>
        <vt:lpwstr>_Toc380999455</vt:lpwstr>
      </vt:variant>
      <vt:variant>
        <vt:i4>1703998</vt:i4>
      </vt:variant>
      <vt:variant>
        <vt:i4>2</vt:i4>
      </vt:variant>
      <vt:variant>
        <vt:i4>0</vt:i4>
      </vt:variant>
      <vt:variant>
        <vt:i4>5</vt:i4>
      </vt:variant>
      <vt:variant>
        <vt:lpwstr/>
      </vt:variant>
      <vt:variant>
        <vt:lpwstr>_Toc380999454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ipoulet</dc:creator>
  <cp:lastModifiedBy>Noe</cp:lastModifiedBy>
  <cp:revision>2</cp:revision>
  <cp:lastPrinted>2016-01-28T09:40:00Z</cp:lastPrinted>
  <dcterms:created xsi:type="dcterms:W3CDTF">2016-03-22T13:43:00Z</dcterms:created>
  <dcterms:modified xsi:type="dcterms:W3CDTF">2016-03-22T13:43:00Z</dcterms:modified>
</cp:coreProperties>
</file>